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ABC" w:rsidRDefault="00B06508">
      <w:pPr>
        <w:widowControl w:val="0"/>
        <w:adjustRightInd/>
        <w:snapToGrid/>
        <w:spacing w:after="0"/>
        <w:jc w:val="center"/>
        <w:rPr>
          <w:rFonts w:ascii="方正小标宋简体" w:eastAsia="方正小标宋简体" w:hAnsi="方正小标宋简体" w:cs="方正小标宋简体"/>
          <w:kern w:val="2"/>
          <w:sz w:val="44"/>
          <w:szCs w:val="44"/>
        </w:rPr>
      </w:pPr>
      <w:r>
        <w:rPr>
          <w:rFonts w:ascii="方正小标宋简体" w:eastAsia="方正小标宋简体" w:hAnsi="方正小标宋简体" w:cs="方正小标宋简体" w:hint="eastAsia"/>
          <w:kern w:val="2"/>
          <w:sz w:val="44"/>
          <w:szCs w:val="44"/>
        </w:rPr>
        <w:t>珠海市疾病预防控制中心简介</w:t>
      </w:r>
    </w:p>
    <w:p w:rsidR="00305ABC" w:rsidRDefault="00305ABC">
      <w:pPr>
        <w:pStyle w:val="a0"/>
        <w:ind w:firstLine="440"/>
      </w:pPr>
    </w:p>
    <w:p w:rsidR="00305ABC" w:rsidRDefault="00B06508">
      <w:pPr>
        <w:spacing w:line="579" w:lineRule="exact"/>
        <w:ind w:firstLineChars="200" w:firstLine="640"/>
        <w:rPr>
          <w:rFonts w:ascii="仿宋" w:eastAsia="仿宋" w:hAnsi="仿宋" w:cs="仿宋"/>
          <w:color w:val="000000"/>
          <w:kern w:val="2"/>
          <w:sz w:val="32"/>
          <w:szCs w:val="32"/>
        </w:rPr>
      </w:pPr>
      <w:r>
        <w:rPr>
          <w:rFonts w:ascii="仿宋" w:eastAsia="仿宋" w:hAnsi="仿宋" w:cs="仿宋" w:hint="eastAsia"/>
          <w:color w:val="000000"/>
          <w:kern w:val="2"/>
          <w:sz w:val="32"/>
          <w:szCs w:val="32"/>
        </w:rPr>
        <w:t>珠海市疾病预防控制中心（</w:t>
      </w:r>
      <w:r>
        <w:rPr>
          <w:rFonts w:ascii="仿宋" w:eastAsia="仿宋" w:hAnsi="仿宋" w:cs="仿宋" w:hint="eastAsia"/>
          <w:color w:val="000000"/>
          <w:kern w:val="2"/>
          <w:sz w:val="32"/>
          <w:szCs w:val="32"/>
        </w:rPr>
        <w:t>以下简称“中心”）是隶属于珠海市卫生健康局的公益</w:t>
      </w:r>
      <w:r>
        <w:rPr>
          <w:rFonts w:ascii="仿宋" w:eastAsia="仿宋" w:hAnsi="仿宋" w:cs="仿宋" w:hint="eastAsia"/>
          <w:color w:val="000000"/>
          <w:kern w:val="2"/>
          <w:sz w:val="32"/>
          <w:szCs w:val="32"/>
        </w:rPr>
        <w:t>I</w:t>
      </w:r>
      <w:r>
        <w:rPr>
          <w:rFonts w:ascii="仿宋" w:eastAsia="仿宋" w:hAnsi="仿宋" w:cs="仿宋" w:hint="eastAsia"/>
          <w:color w:val="000000"/>
          <w:kern w:val="2"/>
          <w:sz w:val="32"/>
          <w:szCs w:val="32"/>
        </w:rPr>
        <w:t>类、五级卫生健康事业单位，</w:t>
      </w:r>
      <w:proofErr w:type="gramStart"/>
      <w:r>
        <w:rPr>
          <w:rFonts w:ascii="仿宋" w:eastAsia="仿宋" w:hAnsi="仿宋" w:cs="仿宋" w:hint="eastAsia"/>
          <w:color w:val="000000"/>
          <w:kern w:val="2"/>
          <w:sz w:val="32"/>
          <w:szCs w:val="32"/>
        </w:rPr>
        <w:t>集疾病</w:t>
      </w:r>
      <w:proofErr w:type="gramEnd"/>
      <w:r>
        <w:rPr>
          <w:rFonts w:ascii="仿宋" w:eastAsia="仿宋" w:hAnsi="仿宋" w:cs="仿宋" w:hint="eastAsia"/>
          <w:color w:val="000000"/>
          <w:kern w:val="2"/>
          <w:sz w:val="32"/>
          <w:szCs w:val="32"/>
        </w:rPr>
        <w:t>预防控制、突发公共卫生事件应急处置、疫情与健康相关信息管理、健康危害因素监测与干预、实验室分析检测与评价、技术管理与技术应用研究指导等职能为一体。</w:t>
      </w:r>
    </w:p>
    <w:p w:rsidR="00305ABC" w:rsidRDefault="00B06508">
      <w:pPr>
        <w:spacing w:line="579" w:lineRule="exact"/>
        <w:rPr>
          <w:rFonts w:ascii="仿宋" w:eastAsia="仿宋" w:hAnsi="仿宋" w:cs="仿宋"/>
          <w:color w:val="000000"/>
          <w:kern w:val="2"/>
          <w:sz w:val="32"/>
          <w:szCs w:val="32"/>
        </w:rPr>
      </w:pPr>
      <w:r>
        <w:rPr>
          <w:rFonts w:ascii="仿宋" w:eastAsia="仿宋" w:hAnsi="仿宋" w:cs="仿宋" w:hint="eastAsia"/>
          <w:color w:val="000000"/>
          <w:kern w:val="2"/>
          <w:sz w:val="32"/>
          <w:szCs w:val="32"/>
        </w:rPr>
        <w:t xml:space="preserve">　</w:t>
      </w:r>
      <w:r>
        <w:rPr>
          <w:rFonts w:ascii="仿宋" w:eastAsia="仿宋" w:hAnsi="仿宋" w:cs="仿宋" w:hint="eastAsia"/>
          <w:color w:val="FF0000"/>
          <w:kern w:val="2"/>
          <w:sz w:val="32"/>
          <w:szCs w:val="32"/>
        </w:rPr>
        <w:t xml:space="preserve"> </w:t>
      </w:r>
      <w:r>
        <w:rPr>
          <w:rFonts w:ascii="仿宋" w:eastAsia="仿宋" w:hAnsi="仿宋" w:cs="仿宋" w:hint="eastAsia"/>
          <w:kern w:val="2"/>
          <w:sz w:val="32"/>
          <w:szCs w:val="32"/>
        </w:rPr>
        <w:t xml:space="preserve"> </w:t>
      </w:r>
      <w:r>
        <w:rPr>
          <w:rFonts w:ascii="仿宋" w:eastAsia="仿宋" w:hAnsi="仿宋" w:cs="仿宋" w:hint="eastAsia"/>
          <w:kern w:val="2"/>
          <w:sz w:val="32"/>
          <w:szCs w:val="32"/>
        </w:rPr>
        <w:t>中心现有核定事业编制</w:t>
      </w:r>
      <w:r>
        <w:rPr>
          <w:rFonts w:ascii="仿宋" w:eastAsia="仿宋" w:hAnsi="仿宋" w:cs="仿宋" w:hint="eastAsia"/>
          <w:kern w:val="2"/>
          <w:sz w:val="32"/>
          <w:szCs w:val="32"/>
        </w:rPr>
        <w:t>134</w:t>
      </w:r>
      <w:r>
        <w:rPr>
          <w:rFonts w:ascii="仿宋" w:eastAsia="仿宋" w:hAnsi="仿宋" w:cs="仿宋" w:hint="eastAsia"/>
          <w:kern w:val="2"/>
          <w:sz w:val="32"/>
          <w:szCs w:val="32"/>
        </w:rPr>
        <w:t>人，合同制职员编制</w:t>
      </w:r>
      <w:r>
        <w:rPr>
          <w:rFonts w:ascii="仿宋" w:eastAsia="仿宋" w:hAnsi="仿宋" w:cs="仿宋" w:hint="eastAsia"/>
          <w:kern w:val="2"/>
          <w:sz w:val="32"/>
          <w:szCs w:val="32"/>
        </w:rPr>
        <w:t>32</w:t>
      </w:r>
      <w:r>
        <w:rPr>
          <w:rFonts w:ascii="仿宋" w:eastAsia="仿宋" w:hAnsi="仿宋" w:cs="仿宋" w:hint="eastAsia"/>
          <w:kern w:val="2"/>
          <w:sz w:val="32"/>
          <w:szCs w:val="32"/>
        </w:rPr>
        <w:t>人。其中正高职称</w:t>
      </w:r>
      <w:r>
        <w:rPr>
          <w:rFonts w:ascii="仿宋" w:eastAsia="仿宋" w:hAnsi="仿宋" w:cs="仿宋" w:hint="eastAsia"/>
          <w:kern w:val="2"/>
          <w:sz w:val="32"/>
          <w:szCs w:val="32"/>
        </w:rPr>
        <w:t>31</w:t>
      </w:r>
      <w:r>
        <w:rPr>
          <w:rFonts w:ascii="仿宋" w:eastAsia="仿宋" w:hAnsi="仿宋" w:cs="仿宋" w:hint="eastAsia"/>
          <w:kern w:val="2"/>
          <w:sz w:val="32"/>
          <w:szCs w:val="32"/>
        </w:rPr>
        <w:t>人，副高职称</w:t>
      </w:r>
      <w:r>
        <w:rPr>
          <w:rFonts w:ascii="仿宋" w:eastAsia="仿宋" w:hAnsi="仿宋" w:cs="仿宋" w:hint="eastAsia"/>
          <w:kern w:val="2"/>
          <w:sz w:val="32"/>
          <w:szCs w:val="32"/>
        </w:rPr>
        <w:t>33</w:t>
      </w:r>
      <w:r>
        <w:rPr>
          <w:rFonts w:ascii="仿宋" w:eastAsia="仿宋" w:hAnsi="仿宋" w:cs="仿宋" w:hint="eastAsia"/>
          <w:kern w:val="2"/>
          <w:sz w:val="32"/>
          <w:szCs w:val="32"/>
        </w:rPr>
        <w:t>人，博士</w:t>
      </w:r>
      <w:r>
        <w:rPr>
          <w:rFonts w:ascii="仿宋" w:eastAsia="仿宋" w:hAnsi="仿宋" w:cs="仿宋" w:hint="eastAsia"/>
          <w:kern w:val="2"/>
          <w:sz w:val="32"/>
          <w:szCs w:val="32"/>
        </w:rPr>
        <w:t>13</w:t>
      </w:r>
      <w:r>
        <w:rPr>
          <w:rFonts w:ascii="仿宋" w:eastAsia="仿宋" w:hAnsi="仿宋" w:cs="仿宋" w:hint="eastAsia"/>
          <w:kern w:val="2"/>
          <w:sz w:val="32"/>
          <w:szCs w:val="32"/>
        </w:rPr>
        <w:t>人，硕士</w:t>
      </w:r>
      <w:r>
        <w:rPr>
          <w:rFonts w:ascii="仿宋" w:eastAsia="仿宋" w:hAnsi="仿宋" w:cs="仿宋" w:hint="eastAsia"/>
          <w:kern w:val="2"/>
          <w:sz w:val="32"/>
          <w:szCs w:val="32"/>
        </w:rPr>
        <w:t>54</w:t>
      </w:r>
      <w:r>
        <w:rPr>
          <w:rFonts w:ascii="仿宋" w:eastAsia="仿宋" w:hAnsi="仿宋" w:cs="仿宋" w:hint="eastAsia"/>
          <w:kern w:val="2"/>
          <w:sz w:val="32"/>
          <w:szCs w:val="32"/>
        </w:rPr>
        <w:t>人。</w:t>
      </w:r>
      <w:r>
        <w:rPr>
          <w:rFonts w:ascii="仿宋" w:eastAsia="仿宋" w:hAnsi="仿宋" w:cs="仿宋" w:hint="eastAsia"/>
          <w:color w:val="000000"/>
          <w:kern w:val="2"/>
          <w:sz w:val="32"/>
          <w:szCs w:val="32"/>
        </w:rPr>
        <w:t>中心是广东省博士工作站，是暨南大学基础医学与公共卫生学院、南方医科大学公共卫生学院、中南大学湘雅公共卫生学院、华中科技大学同济医学院研究生培养基地，中山大学公共卫生学院、四川大学华西公共卫生学院、广东医科大学公共卫生学院、广东药科大学公共卫生学院等多所高等院校实习教学基地，现有受聘兼职硕士生导师</w:t>
      </w:r>
      <w:r>
        <w:rPr>
          <w:rFonts w:ascii="仿宋" w:eastAsia="仿宋" w:hAnsi="仿宋" w:cs="仿宋" w:hint="eastAsia"/>
          <w:color w:val="000000"/>
          <w:kern w:val="2"/>
          <w:sz w:val="32"/>
          <w:szCs w:val="32"/>
        </w:rPr>
        <w:t>7</w:t>
      </w:r>
      <w:r>
        <w:rPr>
          <w:rFonts w:ascii="仿宋" w:eastAsia="仿宋" w:hAnsi="仿宋" w:cs="仿宋" w:hint="eastAsia"/>
          <w:color w:val="000000"/>
          <w:kern w:val="2"/>
          <w:sz w:val="32"/>
          <w:szCs w:val="32"/>
        </w:rPr>
        <w:t>人。此外，中心还是广东省卫生健康委首批“现场流行病学培训基地”，广东省慢性病防控能力建设培训项目培训基地，广东省病原微生物实验室生物安全培训基地（珠海片区）。</w:t>
      </w:r>
    </w:p>
    <w:p w:rsidR="00305ABC" w:rsidRDefault="00B06508">
      <w:pPr>
        <w:spacing w:line="579" w:lineRule="exact"/>
        <w:rPr>
          <w:rFonts w:ascii="仿宋" w:eastAsia="仿宋" w:hAnsi="仿宋" w:cs="仿宋"/>
          <w:color w:val="000000"/>
          <w:kern w:val="2"/>
          <w:sz w:val="32"/>
          <w:szCs w:val="32"/>
        </w:rPr>
      </w:pPr>
      <w:r>
        <w:rPr>
          <w:rFonts w:ascii="仿宋" w:eastAsia="仿宋" w:hAnsi="仿宋" w:cs="仿宋" w:hint="eastAsia"/>
          <w:color w:val="000000"/>
          <w:kern w:val="2"/>
          <w:sz w:val="32"/>
          <w:szCs w:val="32"/>
        </w:rPr>
        <w:t xml:space="preserve">　　中心通过了</w:t>
      </w:r>
      <w:r>
        <w:rPr>
          <w:rFonts w:ascii="仿宋" w:eastAsia="仿宋" w:hAnsi="仿宋" w:cs="仿宋" w:hint="eastAsia"/>
          <w:color w:val="000000"/>
          <w:kern w:val="2"/>
          <w:sz w:val="32"/>
          <w:szCs w:val="32"/>
        </w:rPr>
        <w:t>CNAS</w:t>
      </w:r>
      <w:r>
        <w:rPr>
          <w:rFonts w:ascii="仿宋" w:eastAsia="仿宋" w:hAnsi="仿宋" w:cs="仿宋" w:hint="eastAsia"/>
          <w:color w:val="000000"/>
          <w:kern w:val="2"/>
          <w:sz w:val="32"/>
          <w:szCs w:val="32"/>
        </w:rPr>
        <w:t>认可和实验室资质认定，是国家级流</w:t>
      </w:r>
      <w:r>
        <w:rPr>
          <w:rFonts w:ascii="仿宋" w:eastAsia="仿宋" w:hAnsi="仿宋" w:cs="仿宋" w:hint="eastAsia"/>
          <w:color w:val="000000"/>
          <w:kern w:val="2"/>
          <w:sz w:val="32"/>
          <w:szCs w:val="32"/>
        </w:rPr>
        <w:t>感监测网络实验室、艾滋病检测确证实验室和筛查中心、</w:t>
      </w:r>
      <w:proofErr w:type="gramStart"/>
      <w:r>
        <w:rPr>
          <w:rFonts w:ascii="仿宋" w:eastAsia="仿宋" w:hAnsi="仿宋" w:cs="仿宋" w:hint="eastAsia"/>
          <w:color w:val="000000"/>
          <w:kern w:val="2"/>
          <w:sz w:val="32"/>
          <w:szCs w:val="32"/>
        </w:rPr>
        <w:t>国家盐碘和</w:t>
      </w:r>
      <w:proofErr w:type="gramEnd"/>
      <w:r>
        <w:rPr>
          <w:rFonts w:ascii="仿宋" w:eastAsia="仿宋" w:hAnsi="仿宋" w:cs="仿宋" w:hint="eastAsia"/>
          <w:color w:val="000000"/>
          <w:kern w:val="2"/>
          <w:sz w:val="32"/>
          <w:szCs w:val="32"/>
        </w:rPr>
        <w:t>尿碘监测网络实验室、广东省病原微生物监测</w:t>
      </w:r>
      <w:r>
        <w:rPr>
          <w:rFonts w:ascii="仿宋" w:eastAsia="仿宋" w:hAnsi="仿宋" w:cs="仿宋" w:hint="eastAsia"/>
          <w:color w:val="000000"/>
          <w:kern w:val="2"/>
          <w:sz w:val="32"/>
          <w:szCs w:val="32"/>
        </w:rPr>
        <w:lastRenderedPageBreak/>
        <w:t>和应急检测合作实验室、国家食品安全风险监测网成员实验室、广东省化学污染物违禁药物检测合作实验室。珠海市病原微生物实验室生物安全质量控制中心挂靠于本中心。</w:t>
      </w:r>
    </w:p>
    <w:p w:rsidR="00305ABC" w:rsidRDefault="00B06508">
      <w:pPr>
        <w:spacing w:line="579" w:lineRule="exact"/>
        <w:rPr>
          <w:rFonts w:ascii="仿宋" w:eastAsia="仿宋" w:hAnsi="仿宋" w:cs="仿宋"/>
          <w:color w:val="FF0000"/>
          <w:kern w:val="2"/>
          <w:sz w:val="32"/>
          <w:szCs w:val="32"/>
        </w:rPr>
      </w:pPr>
      <w:r>
        <w:rPr>
          <w:rFonts w:ascii="仿宋" w:eastAsia="仿宋" w:hAnsi="仿宋" w:cs="仿宋"/>
          <w:color w:val="000000"/>
          <w:kern w:val="2"/>
          <w:sz w:val="32"/>
          <w:szCs w:val="32"/>
        </w:rPr>
        <w:t xml:space="preserve">        </w:t>
      </w:r>
      <w:r>
        <w:rPr>
          <w:rFonts w:ascii="仿宋" w:eastAsia="仿宋" w:hAnsi="仿宋" w:cs="仿宋" w:hint="eastAsia"/>
          <w:color w:val="000000"/>
          <w:kern w:val="2"/>
          <w:sz w:val="32"/>
          <w:szCs w:val="32"/>
        </w:rPr>
        <w:t>中心通过“珠海市生物安全</w:t>
      </w:r>
      <w:r>
        <w:rPr>
          <w:rFonts w:ascii="仿宋" w:eastAsia="仿宋" w:hAnsi="仿宋" w:cs="仿宋" w:hint="eastAsia"/>
          <w:color w:val="000000"/>
          <w:kern w:val="2"/>
          <w:sz w:val="32"/>
          <w:szCs w:val="32"/>
        </w:rPr>
        <w:t>P3</w:t>
      </w:r>
      <w:r>
        <w:rPr>
          <w:rFonts w:ascii="仿宋" w:eastAsia="仿宋" w:hAnsi="仿宋" w:cs="仿宋" w:hint="eastAsia"/>
          <w:color w:val="000000"/>
          <w:kern w:val="2"/>
          <w:sz w:val="32"/>
          <w:szCs w:val="32"/>
        </w:rPr>
        <w:t>实验室及疾病预防能力提升工程项目”，全面提升疾病预防控制能力，该项目</w:t>
      </w:r>
      <w:r>
        <w:rPr>
          <w:rFonts w:ascii="仿宋" w:eastAsia="仿宋" w:hAnsi="仿宋" w:cs="仿宋" w:hint="eastAsia"/>
          <w:color w:val="000000"/>
          <w:kern w:val="2"/>
          <w:sz w:val="32"/>
          <w:szCs w:val="32"/>
        </w:rPr>
        <w:t>2021</w:t>
      </w:r>
      <w:r>
        <w:rPr>
          <w:rFonts w:ascii="仿宋" w:eastAsia="仿宋" w:hAnsi="仿宋" w:cs="仿宋" w:hint="eastAsia"/>
          <w:color w:val="000000"/>
          <w:kern w:val="2"/>
          <w:sz w:val="32"/>
          <w:szCs w:val="32"/>
        </w:rPr>
        <w:t>年列入珠海市十件民生实事任务，概算总投资</w:t>
      </w:r>
      <w:r>
        <w:rPr>
          <w:rFonts w:ascii="仿宋" w:eastAsia="仿宋" w:hAnsi="仿宋" w:cs="仿宋" w:hint="eastAsia"/>
          <w:color w:val="000000"/>
          <w:kern w:val="2"/>
          <w:sz w:val="32"/>
          <w:szCs w:val="32"/>
        </w:rPr>
        <w:t>18554.9</w:t>
      </w:r>
      <w:r>
        <w:rPr>
          <w:rFonts w:ascii="仿宋" w:eastAsia="仿宋" w:hAnsi="仿宋" w:cs="仿宋" w:hint="eastAsia"/>
          <w:color w:val="000000"/>
          <w:kern w:val="2"/>
          <w:sz w:val="32"/>
          <w:szCs w:val="32"/>
        </w:rPr>
        <w:t>万元。中心生物安全三级实验室是国家生物安全体系在珠江口西岸的重要战略布局，是国家在粤</w:t>
      </w:r>
      <w:r>
        <w:rPr>
          <w:rFonts w:ascii="仿宋" w:eastAsia="仿宋" w:hAnsi="仿宋" w:cs="仿宋" w:hint="eastAsia"/>
          <w:color w:val="000000"/>
          <w:kern w:val="2"/>
          <w:sz w:val="32"/>
          <w:szCs w:val="32"/>
        </w:rPr>
        <w:t>港澳大湾区高等级病原微生物实验室网点重要成员，也是全国</w:t>
      </w:r>
      <w:proofErr w:type="gramStart"/>
      <w:r>
        <w:rPr>
          <w:rFonts w:ascii="仿宋" w:eastAsia="仿宋" w:hAnsi="仿宋" w:cs="仿宋" w:hint="eastAsia"/>
          <w:color w:val="000000"/>
          <w:kern w:val="2"/>
          <w:sz w:val="32"/>
          <w:szCs w:val="32"/>
        </w:rPr>
        <w:t>疾控机构</w:t>
      </w:r>
      <w:proofErr w:type="gramEnd"/>
      <w:r>
        <w:rPr>
          <w:rFonts w:ascii="仿宋" w:eastAsia="仿宋" w:hAnsi="仿宋" w:cs="仿宋" w:hint="eastAsia"/>
          <w:color w:val="000000"/>
          <w:kern w:val="2"/>
          <w:sz w:val="32"/>
          <w:szCs w:val="32"/>
        </w:rPr>
        <w:t>中唯一的拥有生物安全三级实验室的</w:t>
      </w:r>
      <w:proofErr w:type="gramStart"/>
      <w:r>
        <w:rPr>
          <w:rFonts w:ascii="仿宋" w:eastAsia="仿宋" w:hAnsi="仿宋" w:cs="仿宋" w:hint="eastAsia"/>
          <w:color w:val="000000"/>
          <w:kern w:val="2"/>
          <w:sz w:val="32"/>
          <w:szCs w:val="32"/>
        </w:rPr>
        <w:t>地市级疾控中心</w:t>
      </w:r>
      <w:proofErr w:type="gramEnd"/>
      <w:r>
        <w:rPr>
          <w:rFonts w:ascii="仿宋" w:eastAsia="仿宋" w:hAnsi="仿宋" w:cs="仿宋" w:hint="eastAsia"/>
          <w:color w:val="000000"/>
          <w:kern w:val="2"/>
          <w:sz w:val="32"/>
          <w:szCs w:val="32"/>
        </w:rPr>
        <w:t>。实验室已获得了中国合格评定国家认可委员会的认可证书，通过了国家卫生健康委员会高致病性病原微生物实验活动现场评审。</w:t>
      </w:r>
    </w:p>
    <w:p w:rsidR="00305ABC" w:rsidRDefault="00B06508">
      <w:pPr>
        <w:spacing w:line="579" w:lineRule="exact"/>
        <w:ind w:firstLineChars="200" w:firstLine="640"/>
        <w:rPr>
          <w:rFonts w:ascii="仿宋" w:eastAsia="仿宋" w:hAnsi="仿宋" w:cs="仿宋"/>
          <w:color w:val="000000"/>
          <w:kern w:val="2"/>
          <w:sz w:val="32"/>
          <w:szCs w:val="32"/>
        </w:rPr>
      </w:pPr>
      <w:r>
        <w:rPr>
          <w:rFonts w:ascii="仿宋" w:eastAsia="仿宋" w:hAnsi="仿宋" w:cs="仿宋" w:hint="eastAsia"/>
          <w:color w:val="000000"/>
          <w:kern w:val="2"/>
          <w:sz w:val="32"/>
          <w:szCs w:val="32"/>
        </w:rPr>
        <w:t>近年来，市委市政府高度重视公共卫生工作，我市疾病预防控制事业和机构改革发展迎来了新的机遇。机构和业务管理的各项创新实践将在着力提高中心重大公共卫生问题确定和决策支持能力、传染病监测预警和突发公共卫生事件应急处置能力、流行病学调查和实验室检测</w:t>
      </w:r>
      <w:bookmarkStart w:id="0" w:name="_GoBack"/>
      <w:r>
        <w:rPr>
          <w:rFonts w:ascii="仿宋" w:eastAsia="仿宋" w:hAnsi="仿宋" w:cs="仿宋" w:hint="eastAsia"/>
          <w:color w:val="000000"/>
          <w:kern w:val="2"/>
          <w:sz w:val="32"/>
          <w:szCs w:val="32"/>
        </w:rPr>
        <w:t>检验</w:t>
      </w:r>
      <w:bookmarkEnd w:id="0"/>
      <w:r>
        <w:rPr>
          <w:rFonts w:ascii="仿宋" w:eastAsia="仿宋" w:hAnsi="仿宋" w:cs="仿宋" w:hint="eastAsia"/>
          <w:color w:val="000000"/>
          <w:kern w:val="2"/>
          <w:sz w:val="32"/>
          <w:szCs w:val="32"/>
        </w:rPr>
        <w:t>“一锤定音”的能力、疾病与健康危害因素监测及</w:t>
      </w:r>
      <w:r>
        <w:rPr>
          <w:rFonts w:ascii="仿宋" w:eastAsia="仿宋" w:hAnsi="仿宋" w:cs="仿宋" w:hint="eastAsia"/>
          <w:color w:val="000000"/>
          <w:kern w:val="2"/>
          <w:sz w:val="32"/>
          <w:szCs w:val="32"/>
        </w:rPr>
        <w:t>信息管理应用能力、针对社会关注公共卫生问题及时反应与解疑释</w:t>
      </w:r>
      <w:proofErr w:type="gramStart"/>
      <w:r>
        <w:rPr>
          <w:rFonts w:ascii="仿宋" w:eastAsia="仿宋" w:hAnsi="仿宋" w:cs="仿宋" w:hint="eastAsia"/>
          <w:color w:val="000000"/>
          <w:kern w:val="2"/>
          <w:sz w:val="32"/>
          <w:szCs w:val="32"/>
        </w:rPr>
        <w:t>惑能力</w:t>
      </w:r>
      <w:proofErr w:type="gramEnd"/>
      <w:r>
        <w:rPr>
          <w:rFonts w:ascii="仿宋" w:eastAsia="仿宋" w:hAnsi="仿宋" w:cs="仿宋" w:hint="eastAsia"/>
          <w:color w:val="000000"/>
          <w:kern w:val="2"/>
          <w:sz w:val="32"/>
          <w:szCs w:val="32"/>
        </w:rPr>
        <w:t>这五大核心能力建设方面更上台阶。</w:t>
      </w:r>
      <w:r>
        <w:rPr>
          <w:rFonts w:ascii="仿宋" w:eastAsia="仿宋" w:hAnsi="仿宋" w:cs="仿宋" w:hint="eastAsia"/>
          <w:color w:val="000000"/>
          <w:kern w:val="2"/>
          <w:sz w:val="32"/>
          <w:szCs w:val="32"/>
        </w:rPr>
        <w:t>2023</w:t>
      </w:r>
      <w:r>
        <w:rPr>
          <w:rFonts w:ascii="仿宋" w:eastAsia="仿宋" w:hAnsi="仿宋" w:cs="仿宋" w:hint="eastAsia"/>
          <w:color w:val="000000"/>
          <w:kern w:val="2"/>
          <w:sz w:val="32"/>
          <w:szCs w:val="32"/>
        </w:rPr>
        <w:t>年被省委省政府确定为建设省级区域公共卫生中心的</w:t>
      </w:r>
      <w:r>
        <w:rPr>
          <w:rFonts w:ascii="仿宋" w:eastAsia="仿宋" w:hAnsi="仿宋" w:cs="仿宋" w:hint="eastAsia"/>
          <w:color w:val="000000"/>
          <w:kern w:val="2"/>
          <w:sz w:val="32"/>
          <w:szCs w:val="32"/>
        </w:rPr>
        <w:t>6</w:t>
      </w:r>
      <w:r>
        <w:rPr>
          <w:rFonts w:ascii="仿宋" w:eastAsia="仿宋" w:hAnsi="仿宋" w:cs="仿宋" w:hint="eastAsia"/>
          <w:color w:val="000000"/>
          <w:kern w:val="2"/>
          <w:sz w:val="32"/>
          <w:szCs w:val="32"/>
        </w:rPr>
        <w:t>个地区疾病预防控制中心之一。</w:t>
      </w:r>
    </w:p>
    <w:p w:rsidR="00305ABC" w:rsidRDefault="00B06508">
      <w:pPr>
        <w:pStyle w:val="a0"/>
        <w:spacing w:line="579" w:lineRule="exact"/>
        <w:ind w:firstLine="440"/>
      </w:pPr>
      <w:r>
        <w:rPr>
          <w:rFonts w:hint="eastAsia"/>
          <w:noProof/>
        </w:rPr>
        <w:lastRenderedPageBreak/>
        <w:drawing>
          <wp:anchor distT="0" distB="0" distL="114300" distR="114300" simplePos="0" relativeHeight="2" behindDoc="1" locked="0" layoutInCell="1" allowOverlap="1">
            <wp:simplePos x="0" y="0"/>
            <wp:positionH relativeFrom="column">
              <wp:posOffset>3184525</wp:posOffset>
            </wp:positionH>
            <wp:positionV relativeFrom="paragraph">
              <wp:posOffset>192405</wp:posOffset>
            </wp:positionV>
            <wp:extent cx="1189990" cy="1189990"/>
            <wp:effectExtent l="0" t="0" r="10160" b="10160"/>
            <wp:wrapTight wrapText="bothSides">
              <wp:wrapPolygon edited="0">
                <wp:start x="0" y="0"/>
                <wp:lineTo x="0" y="21093"/>
                <wp:lineTo x="21093" y="21093"/>
                <wp:lineTo x="21093" y="0"/>
                <wp:lineTo x="0" y="0"/>
              </wp:wrapPolygon>
            </wp:wrapTight>
            <wp:docPr id="1026" name="图片 1" descr="“珠海疾控”微信公众号"/>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4" cstate="print"/>
                    <a:srcRect/>
                    <a:stretch/>
                  </pic:blipFill>
                  <pic:spPr>
                    <a:xfrm>
                      <a:off x="0" y="0"/>
                      <a:ext cx="1189990" cy="1189990"/>
                    </a:xfrm>
                    <a:prstGeom prst="rect">
                      <a:avLst/>
                    </a:prstGeom>
                  </pic:spPr>
                </pic:pic>
              </a:graphicData>
            </a:graphic>
          </wp:anchor>
        </w:drawing>
      </w:r>
    </w:p>
    <w:p w:rsidR="00305ABC" w:rsidRDefault="00B06508">
      <w:pPr>
        <w:pStyle w:val="a0"/>
        <w:ind w:firstLine="640"/>
      </w:pPr>
      <w:r>
        <w:rPr>
          <w:rFonts w:ascii="仿宋" w:eastAsia="仿宋" w:hAnsi="仿宋" w:cs="仿宋" w:hint="eastAsia"/>
          <w:color w:val="000000"/>
          <w:kern w:val="2"/>
          <w:sz w:val="32"/>
          <w:szCs w:val="32"/>
        </w:rPr>
        <w:t>公众</w:t>
      </w:r>
      <w:proofErr w:type="gramStart"/>
      <w:r>
        <w:rPr>
          <w:rFonts w:ascii="仿宋" w:eastAsia="仿宋" w:hAnsi="仿宋" w:cs="仿宋" w:hint="eastAsia"/>
          <w:color w:val="000000"/>
          <w:kern w:val="2"/>
          <w:sz w:val="32"/>
          <w:szCs w:val="32"/>
        </w:rPr>
        <w:t>微信平台</w:t>
      </w:r>
      <w:proofErr w:type="gramEnd"/>
      <w:r>
        <w:rPr>
          <w:rFonts w:ascii="仿宋" w:eastAsia="仿宋" w:hAnsi="仿宋" w:cs="仿宋" w:hint="eastAsia"/>
          <w:color w:val="000000"/>
          <w:kern w:val="2"/>
          <w:sz w:val="32"/>
          <w:szCs w:val="32"/>
        </w:rPr>
        <w:t>：“珠海疾控”</w:t>
      </w:r>
    </w:p>
    <w:p w:rsidR="00305ABC" w:rsidRDefault="00305ABC">
      <w:pPr>
        <w:pStyle w:val="a0"/>
        <w:ind w:firstLine="440"/>
      </w:pPr>
    </w:p>
    <w:p w:rsidR="00305ABC" w:rsidRDefault="00305ABC">
      <w:pPr>
        <w:pStyle w:val="a0"/>
        <w:ind w:firstLineChars="0" w:firstLine="0"/>
      </w:pPr>
    </w:p>
    <w:p w:rsidR="00305ABC" w:rsidRDefault="00305ABC">
      <w:pPr>
        <w:pStyle w:val="a0"/>
        <w:ind w:firstLine="440"/>
        <w:sectPr w:rsidR="00305ABC">
          <w:pgSz w:w="11906" w:h="16838"/>
          <w:pgMar w:top="1440" w:right="1800" w:bottom="1440" w:left="1800" w:header="708" w:footer="708" w:gutter="0"/>
          <w:cols w:space="708"/>
          <w:docGrid w:linePitch="360"/>
        </w:sectPr>
      </w:pPr>
    </w:p>
    <w:p w:rsidR="00305ABC" w:rsidRDefault="00305ABC">
      <w:pPr>
        <w:pStyle w:val="a0"/>
        <w:ind w:firstLineChars="0" w:firstLine="0"/>
        <w:jc w:val="both"/>
        <w:rPr>
          <w:rFonts w:ascii="方正小标宋简体" w:eastAsia="方正小标宋简体" w:hAnsi="方正小标宋简体" w:cs="方正小标宋简体"/>
          <w:kern w:val="2"/>
          <w:sz w:val="44"/>
          <w:szCs w:val="44"/>
        </w:rPr>
      </w:pPr>
    </w:p>
    <w:sectPr w:rsidR="00305ABC">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微软雅黑">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script"/>
    <w:pitch w:val="default"/>
    <w:sig w:usb0="00000000" w:usb1="184F6CFA" w:usb2="00000012"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proofState w:spelling="clean" w:grammar="clean"/>
  <w:defaultTabStop w:val="720"/>
  <w:noPunctuationKerning/>
  <w:characterSpacingControl w:val="doNotCompress"/>
  <w:compat>
    <w:doNotExpandShiftReturn/>
    <w:doNotWrapTextWithPunct/>
    <w:doNotUseEastAsianBreakRules/>
    <w:useFELayout/>
    <w:doNotUseIndentAsNumberingTabStop/>
    <w:compatSetting w:name="compatibilityMode" w:uri="http://schemas.microsoft.com/office/word" w:val="12"/>
  </w:compat>
  <w:rsids>
    <w:rsidRoot w:val="00305ABC"/>
    <w:rsid w:val="00305ABC"/>
    <w:rsid w:val="00B06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0C97F"/>
  <w15:docId w15:val="{4428870A-401F-4793-8AC6-B6317DF3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adjustRightInd w:val="0"/>
      <w:snapToGrid w:val="0"/>
      <w:spacing w:after="200"/>
    </w:pPr>
    <w:rPr>
      <w:rFonts w:ascii="Tahoma" w:eastAsia="微软雅黑" w:hAnsi="Tahoma" w:cs="宋体"/>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rFonts w:ascii="Calibri" w:eastAsia="宋体" w:hAnsi="Calibri" w:cs="Times New Roman"/>
    </w:rPr>
  </w:style>
  <w:style w:type="table" w:styleId="a4">
    <w:name w:val="Table Grid"/>
    <w:basedOn w:val="a2"/>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161</Words>
  <Characters>919</Characters>
  <Application>Microsoft Office Word</Application>
  <DocSecurity>0</DocSecurity>
  <Lines>7</Lines>
  <Paragraphs>2</Paragraphs>
  <ScaleCrop>false</ScaleCrop>
  <Company>Microsoft</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cp:revision>
  <dcterms:created xsi:type="dcterms:W3CDTF">2008-09-12T01:20:00Z</dcterms:created>
  <dcterms:modified xsi:type="dcterms:W3CDTF">2024-12-15T05:02:00Z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1796C4EB47FD479D91D24A9A522B96BD</vt:lpwstr>
  </property>
</Properties>
</file>