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333333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Cs w:val="32"/>
          <w:shd w:val="clear" w:color="auto" w:fill="FFFFFF"/>
        </w:rPr>
        <w:t>附件1</w:t>
      </w:r>
    </w:p>
    <w:p>
      <w:pPr>
        <w:spacing w:after="296" w:afterLines="50" w:line="600" w:lineRule="exact"/>
        <w:jc w:val="center"/>
        <w:rPr>
          <w:rFonts w:ascii="Times New Roman" w:hAnsi="Times New Roman" w:eastAsia="方正小标宋简体"/>
          <w:sz w:val="38"/>
          <w:szCs w:val="38"/>
        </w:rPr>
      </w:pPr>
      <w:r>
        <w:rPr>
          <w:rFonts w:ascii="Times New Roman" w:hAnsi="Times New Roman" w:eastAsia="方正小标宋简体"/>
          <w:sz w:val="38"/>
          <w:szCs w:val="38"/>
        </w:rPr>
        <w:t>广东省</w:t>
      </w:r>
      <w:r>
        <w:rPr>
          <w:rFonts w:hint="eastAsia" w:eastAsia="方正小标宋简体"/>
          <w:sz w:val="38"/>
          <w:szCs w:val="38"/>
          <w:lang w:eastAsia="zh-CN"/>
        </w:rPr>
        <w:t>军用供应站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20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年</w:t>
      </w:r>
      <w:r>
        <w:rPr>
          <w:rFonts w:ascii="Times New Roman" w:hAnsi="Times New Roman" w:eastAsia="方正小标宋简体"/>
          <w:sz w:val="38"/>
          <w:szCs w:val="38"/>
        </w:rPr>
        <w:t>公开选调事业单位工作人员职位表</w:t>
      </w:r>
    </w:p>
    <w:tbl>
      <w:tblPr>
        <w:tblStyle w:val="5"/>
        <w:tblW w:w="14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81"/>
        <w:gridCol w:w="1109"/>
        <w:gridCol w:w="709"/>
        <w:gridCol w:w="3462"/>
        <w:gridCol w:w="2150"/>
        <w:gridCol w:w="1689"/>
        <w:gridCol w:w="2177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76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109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岗位类别及等级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选调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3462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职位要求</w:t>
            </w:r>
            <w:bookmarkStart w:id="0" w:name="_GoBack"/>
            <w:bookmarkEnd w:id="0"/>
          </w:p>
        </w:tc>
        <w:tc>
          <w:tcPr>
            <w:tcW w:w="2150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专业方向</w:t>
            </w:r>
          </w:p>
        </w:tc>
        <w:tc>
          <w:tcPr>
            <w:tcW w:w="1689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学历要求</w:t>
            </w:r>
          </w:p>
        </w:tc>
        <w:tc>
          <w:tcPr>
            <w:tcW w:w="2177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职称要求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576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会计</w:t>
            </w: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1109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专业技术十二级及以上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会计工作，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熟悉会计操作系统和工作流程，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掌握国家财经法律法规和政府会计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制度，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有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年以上会计工作经验。</w:t>
            </w:r>
          </w:p>
        </w:tc>
        <w:tc>
          <w:tcPr>
            <w:tcW w:w="2150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18"/>
                <w:szCs w:val="18"/>
                <w:lang w:val="en-US" w:eastAsia="zh-CN"/>
              </w:rPr>
              <w:t>会计学（B120203）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、财务管理（B120204）</w:t>
            </w:r>
          </w:p>
        </w:tc>
        <w:tc>
          <w:tcPr>
            <w:tcW w:w="16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（学士）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217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持有初级会计师及以上专业技术资格证书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576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综合文秘</w:t>
            </w: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（人事岗位方向）</w:t>
            </w:r>
          </w:p>
        </w:tc>
        <w:tc>
          <w:tcPr>
            <w:tcW w:w="1109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专业技术十二级及以上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良好的政治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思想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素质；中共党员；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掌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握人事相关政策和工作流程，有较强的思维能力</w:t>
            </w: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和文字综合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能力</w:t>
            </w: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2年以上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工作经验。</w:t>
            </w:r>
          </w:p>
        </w:tc>
        <w:tc>
          <w:tcPr>
            <w:tcW w:w="2150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汉语言文学</w:t>
            </w:r>
            <w:r>
              <w:rPr>
                <w:rFonts w:hint="default" w:ascii="仿宋_GB2312" w:hAnsi="仿宋_GB2312" w:cs="仿宋_GB2312"/>
                <w:sz w:val="18"/>
                <w:szCs w:val="18"/>
                <w:lang w:val="en-US" w:eastAsia="zh-CN"/>
              </w:rPr>
              <w:t>（B050101）、社会学（B030301）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、人力资源管理（B120206）、行政管理（B120402）、新闻学（B050301）、法学（B030101）</w:t>
            </w:r>
          </w:p>
        </w:tc>
        <w:tc>
          <w:tcPr>
            <w:tcW w:w="16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（学士）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2177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持有初级及以上专业技术资格证书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576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内审岗位</w:t>
            </w:r>
          </w:p>
        </w:tc>
        <w:tc>
          <w:tcPr>
            <w:tcW w:w="1109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专业技术十二级及以上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96" w:after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审计业务及科室相关工作，具备从事审计工作所需要的专业能力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或相关管理工作经验及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职业道德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，中共党员，有较强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文字综合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能力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，有2年以上相关工作经验。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审计学（B120207）、财务管理(B120204)、统计学（B071101）、法学（B030101）</w:t>
            </w:r>
          </w:p>
        </w:tc>
        <w:tc>
          <w:tcPr>
            <w:tcW w:w="16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（学士）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217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持有初级审计、会计及以上专业技术资格证书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Q2ZjBhNTk2ZTljM2NhMGFmNmRhZjhmNDdlNjhjZmMifQ=="/>
  </w:docVars>
  <w:rsids>
    <w:rsidRoot w:val="5A256C25"/>
    <w:rsid w:val="011F6410"/>
    <w:rsid w:val="02F24B8D"/>
    <w:rsid w:val="07047ECE"/>
    <w:rsid w:val="0E927272"/>
    <w:rsid w:val="0EC16B5D"/>
    <w:rsid w:val="0ED30B64"/>
    <w:rsid w:val="0FD65166"/>
    <w:rsid w:val="13C7650B"/>
    <w:rsid w:val="14A32AD4"/>
    <w:rsid w:val="14CF38C9"/>
    <w:rsid w:val="19510D51"/>
    <w:rsid w:val="1967648C"/>
    <w:rsid w:val="263E1692"/>
    <w:rsid w:val="26D6588B"/>
    <w:rsid w:val="28B7038A"/>
    <w:rsid w:val="28D23530"/>
    <w:rsid w:val="2A5C7CF9"/>
    <w:rsid w:val="2AD72B92"/>
    <w:rsid w:val="2D642F8D"/>
    <w:rsid w:val="2D9708A4"/>
    <w:rsid w:val="2FBB6FC4"/>
    <w:rsid w:val="32340DB8"/>
    <w:rsid w:val="36A6358E"/>
    <w:rsid w:val="37976071"/>
    <w:rsid w:val="3B7F4E52"/>
    <w:rsid w:val="3DF80EEB"/>
    <w:rsid w:val="3F2F03B9"/>
    <w:rsid w:val="3FC65745"/>
    <w:rsid w:val="400937E7"/>
    <w:rsid w:val="40C53E5D"/>
    <w:rsid w:val="460972E7"/>
    <w:rsid w:val="471548BC"/>
    <w:rsid w:val="4C485206"/>
    <w:rsid w:val="4E3D7EBE"/>
    <w:rsid w:val="525F658C"/>
    <w:rsid w:val="54281C5E"/>
    <w:rsid w:val="556A6054"/>
    <w:rsid w:val="57235833"/>
    <w:rsid w:val="5741758E"/>
    <w:rsid w:val="584938F2"/>
    <w:rsid w:val="5A256C25"/>
    <w:rsid w:val="5C2A7E91"/>
    <w:rsid w:val="5CD26D3A"/>
    <w:rsid w:val="5E331C32"/>
    <w:rsid w:val="68FA23FD"/>
    <w:rsid w:val="6A702741"/>
    <w:rsid w:val="6C86709B"/>
    <w:rsid w:val="6D490CCA"/>
    <w:rsid w:val="6E6024E3"/>
    <w:rsid w:val="739D61D9"/>
    <w:rsid w:val="749F3DA2"/>
    <w:rsid w:val="771147F0"/>
    <w:rsid w:val="79325290"/>
    <w:rsid w:val="7BBF7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1235</Words>
  <Characters>1364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2019-07-09T08:58:00Z</dcterms:created>
  <dc:creator>jingjing</dc:creator>
  <cp:lastModifiedBy>凤</cp:lastModifiedBy>
  <cp:lastPrinted>2023-12-05T01:09:49Z</cp:lastPrinted>
  <dcterms:modified xsi:type="dcterms:W3CDTF">2023-12-05T01:16:56Z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1639C5CE9C45451CB4E65273CABB2EA8</vt:lpwstr>
  </property>
</Properties>
</file>