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80"/>
        </w:tabs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磐安县</w:t>
      </w:r>
      <w:r>
        <w:rPr>
          <w:rFonts w:hint="eastAsia" w:eastAsia="方正小标宋_GBK" w:cs="Times New Roman"/>
          <w:bCs/>
          <w:color w:val="auto"/>
          <w:sz w:val="44"/>
          <w:szCs w:val="44"/>
          <w:lang w:eastAsia="zh-CN"/>
        </w:rPr>
        <w:t>机关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事业单位公开招用编外人员资格审查办法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一、户籍要求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 户籍要求为“磐安”包括：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（1）本人户口在磐安（以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的户口所在地为准）；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（2）本人出生地在磐安（以户口簿、出生证或出生地政府出具的佐证材料为依据）；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（3）本人或父母或夫（妻）一方在磐安有长居地的（以户口簿、结婚证、房产证、居住地政府出具的佐证材料为依据）；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（4）父母或夫（妻）一方户口在磐安或是磐安机关事业单位正式在编在职工作人员的（以户口簿、结婚证、工作单位佐证材料为依据）；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（5）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前在磐安企事业单位工作并签订劳动合同3年以上的；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（6）生源地为磐安的人员（生源地是指经高考、被高校录取时户口所在地）。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属（2）-（6）种情形的，在报名时，需提供相关材料。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研究生学历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取得专业技术副高职称以上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的人员户籍不限。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二、年龄要求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以第二代身份证上的出生时间为依据，年龄18至35周岁（198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期间出生）；年龄18至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周岁（198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期间出生）；年龄18至45周岁（197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期间出生）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年龄18至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周岁（197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期间出生）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周岁（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1983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1993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3月8日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期间出生）。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三、“专业”审查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报考专业名称与教育行政部门颁发的专业目录名称不一致的，请考生在资格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前，向招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单位提供由毕业院校或教育行政部门开具的关于专业确认的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eastAsia="黑体" w:cs="Times New Roman"/>
          <w:color w:val="auto"/>
          <w:sz w:val="32"/>
          <w:szCs w:val="32"/>
          <w:lang w:eastAsia="zh-CN"/>
        </w:rPr>
      </w:pPr>
      <w:r>
        <w:rPr>
          <w:rFonts w:hint="default" w:eastAsia="黑体" w:cs="Times New Roman"/>
          <w:color w:val="auto"/>
          <w:sz w:val="32"/>
          <w:szCs w:val="32"/>
          <w:lang w:eastAsia="zh-CN"/>
        </w:rPr>
        <w:t>四、基层工作经历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1.哪些经历可以认定为基层工作经历？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基层工作经历是指：在县级及以下党政机关，各类企事业单位、村（社区）组织及其他经济组织和社会组织等工作的经历；以聘用、劳务派遣等方式在各级党政机关工作（不具有公务员或参照管理单位工作人员身份）的经历；毕业离校未就业高校毕业生到高校毕业生实习见习基地（该基地为基层单位）参加见习或者到企事业单位参与项目研究的经历；在军队团或相当团以下单位的工作经历，退役军人在军队服现役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2.基层工作经历起始时间如何界定？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在基层党政机关、事业单位、国有企业工作的人员，基层工作经历时间自报到之日算起。参加“大学生村官”“大学生志愿服务西部计划”等中央和地方服务基层项目人员，基层工作经历时间自报到之日算起。到基层特定公益岗位（社会管理和公共服务）初次就业的人员，基层工作经历时间从工作协议约定的起始时间算起。毕业离校未就业高校毕业生到高校毕业生实习见习基地（该基地为基层单位）参加见习或者到企事业单位参与项目研究的，基层工作经历时间自报到之日算起。到其他经济组织、社会组织等单位工作的人员，基层工作经历时间以劳动合同约定的起始时间算起。自主创业并办理工商注册手续的人员，其基层工作经历时间自营业执照颁发之日算起。以灵活就业形式初次就业人员，其基层工作经历时间从登记灵活就业并经审批确认的起始时间算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3.哪些情形不计入基层工作经历时间？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在市级及以上机关借调（帮助）工作的经历和应届毕业生在校期间的社会实践经历，不能视为基层工作经历，不计入基层工作经历时间。工作之后取得全日制学历的，全日制学习时间不计入基层工作经历时间。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eastAsia="黑体" w:cs="Times New Roman"/>
          <w:color w:val="auto"/>
          <w:sz w:val="32"/>
          <w:szCs w:val="32"/>
          <w:lang w:eastAsia="zh-CN"/>
        </w:rPr>
        <w:t>人事考试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笔试定义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《磐安县编外人才储备池管理试行办法》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积分表中的人事考试指的是近三年（2022-2024年），由组织人社部门组织的公务员、事业单位工作人员、教师、卫技人员等笔试。若报考人员近三年未参加上述笔试的，该项积分为零。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本办法由县人力社保部门会同招用单位负责解释。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5AE3"/>
    <w:multiLevelType w:val="singleLevel"/>
    <w:tmpl w:val="8BFC5AE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22EE"/>
    <w:rsid w:val="2A3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2024-02-28T04:51:00Z</dcterms:created>
  <dc:creator>paa</dc:creator>
  <cp:lastModifiedBy>paa</cp:lastModifiedBy>
  <dcterms:modified xsi:type="dcterms:W3CDTF">2024-02-28T04:51:36Z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