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rPr>
          <w:rFonts w:hint="eastAsia" w:eastAsiaTheme="minorEastAsia"/>
          <w:lang w:val="en-US" w:eastAsia="zh-CN"/>
        </w:rPr>
      </w:pPr>
      <w:r>
        <w:t>附件</w:t>
      </w:r>
      <w:r>
        <w:rPr>
          <w:rFonts w:hint="eastAsia"/>
          <w:lang w:val="en-US" w:eastAsia="zh-CN"/>
        </w:rPr>
        <w:t>1：</w:t>
      </w:r>
      <w:bookmarkStart w:id="0" w:name="_GoBack"/>
      <w:bookmarkEnd w:id="0"/>
    </w:p>
    <w:p>
      <w:pPr>
        <w:pStyle w:val="3"/>
        <w:keepNext w:val="0"/>
        <w:keepLines w:val="0"/>
        <w:widowControl/>
        <w:suppressLineNumbers w:val="0"/>
        <w:spacing w:before="75" w:beforeAutospacing="0" w:after="75" w:afterAutospacing="0"/>
        <w:ind w:left="0" w:right="0"/>
        <w:jc w:val="center"/>
      </w:pPr>
      <w:r>
        <w:t>成都市青白江区人民医院集团2024年二季度自主招聘卫生专业技术人员岗位需求表</w:t>
      </w:r>
    </w:p>
    <w:tbl>
      <w:tblPr>
        <w:tblW w:w="1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1257"/>
        <w:gridCol w:w="1980"/>
        <w:gridCol w:w="945"/>
        <w:gridCol w:w="2835"/>
        <w:gridCol w:w="4665"/>
        <w:gridCol w:w="1230"/>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67" w:hRule="atLeast"/>
          <w:jc w:val="center"/>
        </w:trPr>
        <w:tc>
          <w:tcPr>
            <w:tcW w:w="1257" w:type="dxa"/>
            <w:vMerge w:val="restart"/>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单位</w:t>
            </w:r>
          </w:p>
        </w:tc>
        <w:tc>
          <w:tcPr>
            <w:tcW w:w="1980" w:type="dxa"/>
            <w:vMerge w:val="restart"/>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岗位</w:t>
            </w:r>
          </w:p>
        </w:tc>
        <w:tc>
          <w:tcPr>
            <w:tcW w:w="945" w:type="dxa"/>
            <w:vMerge w:val="restart"/>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bdr w:val="none" w:color="auto" w:sz="0" w:space="0"/>
              </w:rPr>
              <w:t>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（人）</w:t>
            </w:r>
          </w:p>
        </w:tc>
        <w:tc>
          <w:tcPr>
            <w:tcW w:w="14126" w:type="dxa"/>
            <w:gridSpan w:val="4"/>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岗位条件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4" w:hRule="atLeast"/>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vMerge w:val="continue"/>
            <w:shd w:val="clear"/>
            <w:tcMar>
              <w:top w:w="75" w:type="dxa"/>
              <w:left w:w="150" w:type="dxa"/>
              <w:bottom w:w="75" w:type="dxa"/>
              <w:right w:w="150" w:type="dxa"/>
            </w:tcMar>
            <w:vAlign w:val="center"/>
          </w:tcPr>
          <w:p>
            <w:pPr>
              <w:rPr>
                <w:rFonts w:hint="eastAsia" w:ascii="宋体"/>
                <w:sz w:val="24"/>
                <w:szCs w:val="24"/>
              </w:rPr>
            </w:pPr>
          </w:p>
        </w:tc>
        <w:tc>
          <w:tcPr>
            <w:tcW w:w="945" w:type="dxa"/>
            <w:vMerge w:val="continue"/>
            <w:shd w:val="clear"/>
            <w:tcMar>
              <w:top w:w="75" w:type="dxa"/>
              <w:left w:w="150" w:type="dxa"/>
              <w:bottom w:w="75" w:type="dxa"/>
              <w:right w:w="150" w:type="dxa"/>
            </w:tcMar>
            <w:vAlign w:val="center"/>
          </w:tcPr>
          <w:p>
            <w:pPr>
              <w:rPr>
                <w:rFonts w:hint="eastAsia" w:ascii="宋体"/>
                <w:sz w:val="24"/>
                <w:szCs w:val="24"/>
              </w:rPr>
            </w:pP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学历</w:t>
            </w:r>
          </w:p>
        </w:tc>
        <w:tc>
          <w:tcPr>
            <w:tcW w:w="4665" w:type="dxa"/>
            <w:shd w:val="clear"/>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专业</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执业（职称）条件</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restart"/>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成都市青白江区人民医院</w:t>
            </w: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急诊医学科医师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普通高等教育本科及以上学历并取得相应学位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本科：临床医学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研究生：内科学、外科学、急诊医学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vMerge w:val="restart"/>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2.取得执业医师资格证书，取得中级职称证书者优先；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3.取得《住院医师医师规范化培训合格证书》；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4.2024年应届毕业生须于2024年8月31日之前取得毕业证、学位证、执业医师资格证书、在省级及以上卫生健康行政部门颁发的《住院医师规范化培训合格证书》或住院医师规范化培训合格证明。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疼痛科医师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普通高等教育本科及以上学历并取得相应学位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本科：临床医学、麻醉学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研究生：麻醉学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vMerge w:val="continue"/>
            <w:shd w:val="clear"/>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肛肠科医师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普通高等教育本科及以上学历并取得相应学位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本科：临床医学、中医学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研究生：外科学、中医外科学、中医肛肠</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vMerge w:val="continue"/>
            <w:shd w:val="clear"/>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bdr w:val="none" w:color="auto" w:sz="0" w:space="0"/>
              </w:rPr>
              <w:t>肿瘤血管介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入科医师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普通高等教育本科及以上学历并取得相应学位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本科：临床医学、医学影像学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研究生：肿瘤学、外科学、影像医学与核医学、核医学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vMerge w:val="continue"/>
            <w:shd w:val="clear"/>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口腔医师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普通高等教育本科及以上学历并取得相应学位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本科：口腔医学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研究生：口腔医学类（口腔颌面外科方向、口腔种植方向、牙周方向）</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vMerge w:val="continue"/>
            <w:shd w:val="clear"/>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眼科医师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普通高等教育本科及以上学历并取得相应学位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本科：临床医学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研究生：眼科学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vMerge w:val="continue"/>
            <w:shd w:val="clear"/>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骨科医师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外科学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vMerge w:val="continue"/>
            <w:shd w:val="clear"/>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中医科医师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针灸推拿学、针灸</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vMerge w:val="continue"/>
            <w:shd w:val="clear"/>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康复科医师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针灸推拿学、针灸</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vMerge w:val="continue"/>
            <w:shd w:val="clear"/>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药剂师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普通高等教育本科及以上学历并取得相应学位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研究生：药学类</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1.年龄在30周岁及以下（1994年1月1日及以后出生）；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2.取得药师资格证书。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影像技师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普通高等教育本科及以上学历并取得相应学位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本科：医学影像技术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研究生：核医学医学影像学与核医学、核医学、医学技术</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1.年龄在30周岁及以下（1994年1月1日及以后出生）；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2.取得影像技师（士）资格证书，取得研究生学历及相应学位者/取得《技士规范化培训合格证书》者优先；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3.2024年应届毕业生须于2024年8月30日之前取得毕业证、学位证、影像技师（士）资格证书/《技士规范化培训合格证书》或合格证明。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康复技师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康复治疗学、医学技术、康复医学与理疗学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1.年龄在30周岁及以下（1994年1月1日及以后出生）；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2.取得康复治疗师资格证书，运动康复方向。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检验技师/检验医师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临床检验诊断学、临床医学、医学技术</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1.年龄在30周岁及以下（1994年1月1日及以后出生）；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2.取得检验技师资格证书或者执业医师资格证书，取得中级职称证书者优先；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3.2024年应届毕业生须于2024年8月31日之前取得毕业证、学位证、检验技师资格证书或者执业医师资格证书。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麻醉专科护士</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普通高等教育本科及以上学历并取得相应学位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本科：护理学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研究生：护理、护理学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1.年龄在30周岁及以下（1994年1月1日及以后出生），取得研究生学历者可放宽至35岁（1989年1月1日及以后出生）；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2.取得护士执业证，取得麻醉专科护士证；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3.2024年应届毕业生须于2024年8月31日之前取得毕业证、学位证、护士执业资格证。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临床护士</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14</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普通高等教育本科及以上学历并取得相应学位</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本科：护理学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研究生：护理、护理学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1.年龄在30周岁及以下（1994年1月1日及以后出生），取得研究生学历者可放宽至32岁（1992年1月1日及以后出生）；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2.取得护士执业证；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3.对于持有专科护士证或三级甲等医院护理专业规培经历的人员优先录取；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4.2024年应届毕业生须于2024年8月31日之前取得毕业证、学位证、护士执业资格证。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restart"/>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成都市青白江区大弯社区卫生服务中心</w:t>
            </w: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中医师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中西医结合类、中医类</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2.取得执业（助理）医师资格证书.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康复技师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本科：康复治疗学、针灸推拿学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研究生：康复医学与理疗学、针灸、针灸推拿学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2.取得康复治疗师（士）资格证书。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临床护士</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普通高等教育大专及以上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护理、护理学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2.取得护士资格证书。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restart"/>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成都市青白江区大同镇卫生院</w:t>
            </w: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影像医师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本科：医学影像学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研究生：医学影像学与核医学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2.取得执业医师（执业助理医师）资格证。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中药师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本科：中药学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研究生：中药、中药学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2.取得中药师（士）资格证。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中医师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本科：针灸推拿学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研究生：针灸推拿学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2.取得中医执业医师资格证。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康复技师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本科：康复治疗学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研究生：康复医学与理疗学、医学技术</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2.取得康复治疗师（士）资格证。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restart"/>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成都市青白江区城厢镇公立中心卫生院</w:t>
            </w: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康复医师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本科：中医学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研究生：中医类、中医学类</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1.年龄在35周岁及以下（1989年1月1日及以后出生），取得卫生中级专业技术资格的，年龄可放宽到40周岁及以下（1984年1月1日及以后出生）。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2.取得执业（助理）医师资格证书。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放射医师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本科：临床医学、医学影像学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研究生：影像医学与核医学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1.年龄在35周岁及以下（1989年1月1日及以后出生），取得卫生中级专业技术资格的，年龄可放宽到40周岁及以下（1984年1月1日及以后出生）。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2.取得放射医师资格证书、CT医师诊断上岗证。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3.所学专业为临床医学的，执业范围需注册医学影像诊断专业。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口腔医师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本科：口腔医学类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研究生：口腔医学类</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1.年龄在35周岁及以下（1989年1月1日及以后出生），取得卫生中级专业技术资格的，年龄可放宽到40周岁及以下（1984年1月1日及以后出生）。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2.取得执业（助理）医师资格证书。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麻醉医师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本科：临床医学、麻醉学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研究生：麻醉学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1.年龄在35周岁及以下（1989年1月1日及以后出生），取得卫生中级专业技术资格的，年龄可放宽到40周岁及以下（1984年1月1日及以后出生）。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2.所学专业为临床医学的，执业范围需注册麻醉学专业。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3.取得执业（助理）医师资格证书。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临床医师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本科：临床医学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研究生：外科学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1.年龄在35周岁及以下（1989年1月1日及以后出生），取得卫生中级专业技术资格的，年龄可放宽到40周岁及以下（1984年1月1日及以后出生）。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2.取得执业（助理）医师资格证书。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临床护理</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普通高等教育大专及以上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护理学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1.年龄在30周岁及以下（1994年1月1日及以后出生），取得卫生中级专业技术资格的，年龄可放宽到35周岁及以下（1989年1月1日及以后出生）。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2.取得执业护士资格证书。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药剂师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本科及以上学历（应聘者本科教育为成人教育的，需提供普通高等教育全日制大专毕业证书及学籍在线验证报告）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药学类</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1.年龄在35周岁及以下（1989年1月1日及以后出生），取得卫生中级专业技术资格的，年龄可放宽到40周岁及以下（1984年1月1日及以后出生）。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2.取得药师（士）资格证书。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3.所学专业为中药学者优先。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restart"/>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成都市青白江区姚渡镇卫生院</w:t>
            </w: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口腔医师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普通高等教育大专及以上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口腔医学类</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1.年龄在35周岁及以下（1989年1月1日及以后出生），取得卫生中级专业技术资格的，年龄可放宽到40周岁及以下（1984年1月1日及以后出生）。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2.取得执业助理医师及以上资格证书。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临床护士</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普通高等教育大专及以上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护理学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1.年龄在35周岁及以下（1989年1月1日及以后出生），取得卫生中级专业技术资格的，年龄可放宽到40周岁及以下（1984年1月1日及以后出生）。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2.取得执业护士资格证书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药剂师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普通高等教育大专及以上</w:t>
            </w:r>
          </w:p>
        </w:tc>
        <w:tc>
          <w:tcPr>
            <w:tcW w:w="466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药学类</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1.年龄在35周岁及以下（1989年1月1日及以后出生），取得卫生中级专业技术资格的，年龄可放宽到40周岁及以下（1984年1月1日及以后出生）。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2.取得药师（士）资格证书，中药师优先。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影像医师</w:t>
            </w:r>
          </w:p>
        </w:tc>
        <w:tc>
          <w:tcPr>
            <w:tcW w:w="94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普通高等教育大专及以上</w:t>
            </w:r>
          </w:p>
        </w:tc>
        <w:tc>
          <w:tcPr>
            <w:tcW w:w="4665" w:type="dxa"/>
            <w:shd w:val="clear"/>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临床医学、医学影像学</w:t>
            </w:r>
          </w:p>
        </w:tc>
        <w:tc>
          <w:tcPr>
            <w:tcW w:w="12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1.年龄在35周岁及以下（1989年1月1日及以后出生），取得卫生中级专业技术资格的，年龄可放宽到40周岁及以下（1984年1月1日及以后出生）。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2.取得执业助理医师及以上资格证书；执业资格证书执业范围为医学影像和放射治疗专业的不限专业。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57" w:type="dxa"/>
            <w:vMerge w:val="continue"/>
            <w:shd w:val="clear"/>
            <w:tcMar>
              <w:top w:w="75" w:type="dxa"/>
              <w:left w:w="150" w:type="dxa"/>
              <w:bottom w:w="75" w:type="dxa"/>
              <w:right w:w="150" w:type="dxa"/>
            </w:tcMar>
            <w:vAlign w:val="center"/>
          </w:tcPr>
          <w:p>
            <w:pPr>
              <w:rPr>
                <w:rFonts w:hint="eastAsia" w:ascii="宋体"/>
                <w:sz w:val="24"/>
                <w:szCs w:val="24"/>
              </w:rPr>
            </w:pPr>
          </w:p>
        </w:tc>
        <w:tc>
          <w:tcPr>
            <w:tcW w:w="1980" w:type="dxa"/>
            <w:shd w:val="clear"/>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临床医师</w:t>
            </w:r>
          </w:p>
        </w:tc>
        <w:tc>
          <w:tcPr>
            <w:tcW w:w="945" w:type="dxa"/>
            <w:shd w:val="clear"/>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tc>
        <w:tc>
          <w:tcPr>
            <w:tcW w:w="2835" w:type="dxa"/>
            <w:shd w:val="clear"/>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普通高等教育大专及以上</w:t>
            </w:r>
          </w:p>
        </w:tc>
        <w:tc>
          <w:tcPr>
            <w:tcW w:w="4665" w:type="dxa"/>
            <w:shd w:val="clear"/>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临床医学</w:t>
            </w:r>
          </w:p>
        </w:tc>
        <w:tc>
          <w:tcPr>
            <w:tcW w:w="1230" w:type="dxa"/>
            <w:shd w:val="clear"/>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初级及以上</w:t>
            </w:r>
          </w:p>
        </w:tc>
        <w:tc>
          <w:tcPr>
            <w:tcW w:w="5396" w:type="dxa"/>
            <w:shd w:val="clear"/>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1.年龄在35周岁及以下（1989年1月1日及以后出生），取得卫生中级专业技术资格的，年龄可放宽到40周岁及以下（1984年1月1日及以后出生）。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2.取得执业助理医师及以上资格证书，取得全科医师资格证优先。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37" w:type="dxa"/>
            <w:gridSpan w:val="2"/>
            <w:shd w:val="clear"/>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合计</w:t>
            </w:r>
          </w:p>
        </w:tc>
        <w:tc>
          <w:tcPr>
            <w:tcW w:w="15071" w:type="dxa"/>
            <w:gridSpan w:val="5"/>
            <w:shd w:val="clear"/>
            <w:noWrap/>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51人</w:t>
            </w:r>
          </w:p>
        </w:tc>
      </w:tr>
    </w:tbl>
    <w:p>
      <w:pPr>
        <w:pStyle w:val="3"/>
        <w:keepNext w:val="0"/>
        <w:keepLines w:val="0"/>
        <w:widowControl/>
        <w:suppressLineNumbers w:val="0"/>
        <w:spacing w:before="75" w:beforeAutospacing="0" w:after="75" w:afterAutospacing="0"/>
        <w:ind w:left="0" w:right="0"/>
      </w:pPr>
    </w:p>
    <w:p>
      <w:pPr>
        <w:rPr>
          <w:rFonts w:hint="eastAsia"/>
          <w:lang w:val="en-US" w:eastAsia="zh-CN"/>
        </w:rPr>
      </w:pPr>
    </w:p>
    <w:sectPr>
      <w:pgSz w:w="19842" w:h="16838" w:orient="landscape"/>
      <w:pgMar w:top="1440" w:right="1803" w:bottom="1440" w:left="180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NWZhMDgzNmQ0YWYzZDg1Yzk1YjFlMTU4MjdmYzMifQ=="/>
  </w:docVars>
  <w:rsids>
    <w:rsidRoot w:val="5B330B64"/>
    <w:rsid w:val="2F05320B"/>
    <w:rsid w:val="5B33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2024-05-10T01:10:00Z</dcterms:created>
  <dc:creator>Administrator</dc:creator>
  <cp:lastModifiedBy>Administrator</cp:lastModifiedBy>
  <dcterms:modified xsi:type="dcterms:W3CDTF">2024-05-10T08:58:23Z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834DB8EEFF0B4CF6BA5741EF268728F0_11</vt:lpwstr>
  </property>
</Properties>
</file>