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2"/>
        <w:gridCol w:w="989"/>
        <w:gridCol w:w="1036"/>
        <w:gridCol w:w="1109"/>
        <w:gridCol w:w="1047"/>
        <w:gridCol w:w="1055"/>
        <w:gridCol w:w="1"/>
        <w:gridCol w:w="1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4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阿里地区财政局造价工程师报名表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玉卓旺姆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199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8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.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7.24</w:t>
            </w:r>
          </w:p>
        </w:tc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drawing>
                <wp:inline distT="0" distB="0" distL="114300" distR="114300">
                  <wp:extent cx="1047750" cy="1122045"/>
                  <wp:effectExtent l="0" t="0" r="0" b="190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122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 生 地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西藏自治区那曲市安多县强玛镇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汉族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共青团员</w:t>
            </w: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大学本科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位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管理学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2018/6</w:t>
            </w: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汉口学院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工程管理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良好</w:t>
            </w: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职务职称</w:t>
            </w:r>
          </w:p>
        </w:tc>
        <w:tc>
          <w:tcPr>
            <w:tcW w:w="3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邮箱</w:t>
            </w:r>
          </w:p>
        </w:tc>
        <w:tc>
          <w:tcPr>
            <w:tcW w:w="276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1545457745@qq.com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3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湖北省黄冈市团风县淋山河镇谢河村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婚否</w:t>
            </w:r>
          </w:p>
        </w:tc>
        <w:tc>
          <w:tcPr>
            <w:tcW w:w="1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未婚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湖北省黄冈市团风县淋山河镇谢河村</w:t>
            </w:r>
          </w:p>
        </w:tc>
        <w:tc>
          <w:tcPr>
            <w:tcW w:w="10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71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工程造价专业技术人员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421121199510172038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15623277481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69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2014年9月至2018年6月就读于汉口学院；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2018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月至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2020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月就职于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中国机械工业第二建设工程有限公司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机关土建预算员一职，主要工作为用广联达建模算量</w:t>
            </w:r>
            <w:r>
              <w:rPr>
                <w:rFonts w:hint="default" w:ascii="微软雅黑" w:hAnsi="微软雅黑" w:eastAsia="微软雅黑" w:cs="微软雅黑"/>
                <w:color w:val="444444"/>
                <w:kern w:val="2"/>
                <w:sz w:val="22"/>
                <w:szCs w:val="22"/>
                <w:lang w:val="en-US" w:eastAsia="zh-CN" w:bidi="ar"/>
              </w:rPr>
              <w:t>（完成5.5万m2地下室及数个厂房）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，参与投标项目商务报价；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20年9月至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2年5月就职于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黄冈升华房地产开发有限公司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固始翡翠城品项目土建预算员，主要工作内容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1.根据项目招采计划编制招标清单控制价(完成总包合同转固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1.15亿审减6.83%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、门窗栏杆工程、公区精装修工程、商业幕墙工程、园林景观工程等)；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2.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测算审核签证变更费用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（25份，合计审减31%）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3.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对已完工程进行结算编制核对（完成示范区园林景观工程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审减4.93%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、营销中心精装修工程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审减4.93%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、营销中心外墙涂料幕墙工程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审减16.11%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、营销中心室外亮化工程、样板房精装修工程等）；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22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月至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今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就职于中建二局第四建筑工程有限公司 机关土建预算员一职，主要工作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1.投标报价工作（完成合肥市委党校和合肥经开区投标报价工作及安徽荣曜成本测算）；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2.项目重计量模型及控制价审核工作（完成3个项目部分单体重计量，为房建和钢结构厂房，增加预算金额317.37万），编制/审核负责项目签证变更造价（编制3项变更预算合计1656.29万）；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3.业主结算工作（完成公司碧桂园项目合同内及合同外签证结算，增加结算上报金额1450.76万）；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微软雅黑" w:hAnsi="微软雅黑" w:eastAsia="微软雅黑" w:cs="微软雅黑"/>
                <w:color w:val="444444"/>
                <w:kern w:val="2"/>
                <w:sz w:val="22"/>
                <w:szCs w:val="22"/>
                <w:lang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微软雅黑" w:hAnsi="微软雅黑" w:eastAsia="微软雅黑" w:cs="微软雅黑"/>
                <w:color w:val="444444"/>
                <w:kern w:val="2"/>
                <w:sz w:val="22"/>
                <w:szCs w:val="22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3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69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就职于黄冈升华房地产有限公司期间获得“优秀员工”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家庭主要成员及工作单位和职务及联系方式</w:t>
            </w:r>
          </w:p>
        </w:tc>
        <w:tc>
          <w:tcPr>
            <w:tcW w:w="69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家庭主要成员: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孙春喜  关系:父子  职务:无 联系方式: 15871804819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余则芳  关系:母子  职务:无 联系方式: 13797067059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 xml:space="preserve">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Times New Roman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KW 55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MzAwZDY3ODI5YjgxNDhjZDJhZGEzNDhiMWNhZTQifQ=="/>
  </w:docVars>
  <w:rsids>
    <w:rsidRoot w:val="600009E7"/>
    <w:rsid w:val="16F5EFC0"/>
    <w:rsid w:val="2C170FE9"/>
    <w:rsid w:val="2EC2D1F9"/>
    <w:rsid w:val="3D7F5BB4"/>
    <w:rsid w:val="3F9EF220"/>
    <w:rsid w:val="48FA2762"/>
    <w:rsid w:val="59BFE411"/>
    <w:rsid w:val="5F9BCF9E"/>
    <w:rsid w:val="600009E7"/>
    <w:rsid w:val="67F48689"/>
    <w:rsid w:val="6BCF972C"/>
    <w:rsid w:val="6EFD1358"/>
    <w:rsid w:val="6FF11FA4"/>
    <w:rsid w:val="76FE3135"/>
    <w:rsid w:val="7776D8FE"/>
    <w:rsid w:val="7CFFC724"/>
    <w:rsid w:val="7E37EFED"/>
    <w:rsid w:val="7FE73907"/>
    <w:rsid w:val="7FFD645B"/>
    <w:rsid w:val="97B7A27E"/>
    <w:rsid w:val="9F0F0B0C"/>
    <w:rsid w:val="9FEF3DDE"/>
    <w:rsid w:val="A9F720B5"/>
    <w:rsid w:val="B7FF465B"/>
    <w:rsid w:val="BF7FC495"/>
    <w:rsid w:val="D97D2019"/>
    <w:rsid w:val="D9D61E91"/>
    <w:rsid w:val="DCDFB281"/>
    <w:rsid w:val="DEFFA42A"/>
    <w:rsid w:val="E5AF061D"/>
    <w:rsid w:val="EB4F2434"/>
    <w:rsid w:val="EFAEE10A"/>
    <w:rsid w:val="F3B15502"/>
    <w:rsid w:val="F9A7AB69"/>
    <w:rsid w:val="FB91C110"/>
    <w:rsid w:val="FDFFDABA"/>
    <w:rsid w:val="FE6F6DEB"/>
    <w:rsid w:val="FE7932A8"/>
    <w:rsid w:val="FF7F3C5F"/>
    <w:rsid w:val="FFFCF6D3"/>
    <w:rsid w:val="FFFF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363</Words>
  <Characters>455</Characters>
  <Lines>1</Lines>
  <Paragraphs>1</Paragraphs>
  <TotalTime>0</TotalTime>
  <ScaleCrop>false</ScaleCrop>
  <LinksUpToDate>false</LinksUpToDate>
  <CharactersWithSpaces>480</CharactersWithSpaces>
  <Application>WPS Office WWO_wpscloud_20230216173126-05bfff133b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2023-02-19T02:43:00Z</dcterms:created>
  <dc:creator>罗腾</dc:creator>
  <cp:lastModifiedBy>罗腾</cp:lastModifiedBy>
  <dcterms:modified xsi:type="dcterms:W3CDTF">2023-02-22T16:01:30Z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759640E0551B40118CA8C210DE4B4CAE</vt:lpwstr>
  </property>
</Properties>
</file>