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附件1</w:t>
      </w:r>
    </w:p>
    <w:p>
      <w:pPr>
        <w:spacing w:line="5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东莞市发展和改革局</w:t>
      </w:r>
      <w:r>
        <w:rPr>
          <w:rFonts w:ascii="Times New Roman" w:hAnsi="Times New Roman" w:eastAsia="方正小标宋简体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年上半年自主</w:t>
      </w:r>
      <w:r>
        <w:rPr>
          <w:rFonts w:hint="eastAsia" w:eastAsia="方正小标宋简体"/>
          <w:sz w:val="40"/>
          <w:szCs w:val="40"/>
        </w:rPr>
        <w:t>（</w:t>
      </w:r>
      <w:r>
        <w:rPr>
          <w:rFonts w:eastAsia="方正小标宋简体"/>
          <w:sz w:val="40"/>
          <w:szCs w:val="40"/>
        </w:rPr>
        <w:t>公开</w:t>
      </w:r>
      <w:r>
        <w:rPr>
          <w:rFonts w:hint="eastAsia" w:eastAsia="方正小标宋简体"/>
          <w:sz w:val="40"/>
          <w:szCs w:val="40"/>
        </w:rPr>
        <w:t>）</w:t>
      </w:r>
      <w:r>
        <w:rPr>
          <w:rFonts w:eastAsia="方正小标宋简体"/>
          <w:sz w:val="40"/>
          <w:szCs w:val="40"/>
        </w:rPr>
        <w:t>招聘聘用人员岗位表</w:t>
      </w:r>
      <w:bookmarkEnd w:id="0"/>
    </w:p>
    <w:tbl>
      <w:tblPr>
        <w:tblStyle w:val="4"/>
        <w:tblpPr w:leftFromText="180" w:rightFromText="180" w:vertAnchor="page" w:horzAnchor="page" w:tblpX="868" w:tblpY="2221"/>
        <w:tblW w:w="15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59"/>
        <w:gridCol w:w="897"/>
        <w:gridCol w:w="952"/>
        <w:gridCol w:w="935"/>
        <w:gridCol w:w="902"/>
        <w:gridCol w:w="3042"/>
        <w:gridCol w:w="1232"/>
        <w:gridCol w:w="1218"/>
        <w:gridCol w:w="1700"/>
        <w:gridCol w:w="2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90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059" w:type="dxa"/>
            <w:tcBorders>
              <w:bottom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单位</w:t>
            </w:r>
          </w:p>
        </w:tc>
        <w:tc>
          <w:tcPr>
            <w:tcW w:w="897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935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代码</w:t>
            </w:r>
          </w:p>
        </w:tc>
        <w:tc>
          <w:tcPr>
            <w:tcW w:w="90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04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岗位职责</w:t>
            </w:r>
          </w:p>
        </w:tc>
        <w:tc>
          <w:tcPr>
            <w:tcW w:w="282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东莞市发展和改革局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司机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第六类</w:t>
            </w:r>
          </w:p>
        </w:tc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001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专业不限。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学士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负责本单位公车的驾驶和日常维护；完成单位交办的其他工作。</w:t>
            </w:r>
          </w:p>
        </w:tc>
        <w:tc>
          <w:tcPr>
            <w:tcW w:w="2829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1.30周岁以下；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2.持有中华人民共和国机动车C1及以上驾驶证，驾龄2年及以上；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3.熟悉地区道路，驾驶习惯良好，驾驶技能娴熟，具有汽车日常保养和排除简单故障的能力；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4.有较强的安全意识、服务意识，能服从工作安排，遵守工作纪律和有关管理规定；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</w:t>
            </w:r>
            <w:r>
              <w:rPr>
                <w:rFonts w:hint="eastAsia" w:eastAsia="仿宋_GB2312"/>
                <w:sz w:val="24"/>
              </w:rPr>
              <w:t>同等条件下，</w:t>
            </w:r>
            <w:r>
              <w:rPr>
                <w:rFonts w:eastAsia="仿宋_GB2312"/>
                <w:sz w:val="24"/>
              </w:rPr>
              <w:t>退伍军人优先考虑。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东莞市发展和改革局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综合管理岗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第四类</w:t>
            </w:r>
          </w:p>
        </w:tc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002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经济学类（B0201）、金融学（B020301）、法学（B030101）、社会学（B030301）、社会工作（B030302）、汉语言文学（B050101）、人文地理与城乡规划（B070503）、城乡规划（B081002）、食品科学与工程（B082801）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学士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从事不限于经济管理、公文写作、文件处理、调研会务、组织协调等综合性管理工作。</w:t>
            </w:r>
          </w:p>
        </w:tc>
        <w:tc>
          <w:tcPr>
            <w:tcW w:w="2829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1.30周岁以下；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2.有较好的语言和沟通协调能力；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同等条件下，</w:t>
            </w:r>
            <w:r>
              <w:rPr>
                <w:rFonts w:eastAsia="仿宋_GB2312"/>
                <w:sz w:val="24"/>
              </w:rPr>
              <w:t>有党政机关、事业单位工作经验的优先考虑。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东莞市产业创新发展研究中心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产业研究岗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第三类</w:t>
            </w:r>
          </w:p>
        </w:tc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003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中国语言文学（A0501）、光学工程（A0803）、电子科学与技术（A0809）、信息与通信工程（A0810）、电子信息（A0840）、能源动力（A0843）、城乡规划学（A0833）、公共管理（A1204）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从事产业规划、产业政策研究、调研报告撰写、文件处理等相关工作。</w:t>
            </w:r>
          </w:p>
        </w:tc>
        <w:tc>
          <w:tcPr>
            <w:tcW w:w="2829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1.30周岁以下；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2.有较好的语言和沟通协调能力；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同等条件下，</w:t>
            </w:r>
            <w:r>
              <w:rPr>
                <w:rFonts w:eastAsia="仿宋_GB2312"/>
                <w:sz w:val="24"/>
              </w:rPr>
              <w:t>有党政机关、事业单位工作经验的优先考虑。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东莞市价格认定中心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第三类</w:t>
            </w:r>
          </w:p>
        </w:tc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004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会计学（A120201）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、会计硕士（</w:t>
            </w:r>
            <w:r>
              <w:rPr>
                <w:rFonts w:eastAsia="仿宋_GB2312"/>
                <w:color w:val="000000"/>
                <w:kern w:val="0"/>
                <w:sz w:val="24"/>
              </w:rPr>
              <w:t>A120206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）、</w:t>
            </w:r>
            <w:r>
              <w:rPr>
                <w:rFonts w:eastAsia="仿宋_GB2312"/>
                <w:color w:val="000000"/>
                <w:kern w:val="0"/>
                <w:sz w:val="24"/>
              </w:rPr>
              <w:t>会计学（B120203）、审计学（B120207）、资产评估（B120208）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本科以上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学士以上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具有中级会计师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或</w:t>
            </w:r>
            <w:r>
              <w:rPr>
                <w:rFonts w:eastAsia="仿宋_GB2312"/>
                <w:color w:val="000000"/>
                <w:kern w:val="0"/>
                <w:sz w:val="24"/>
              </w:rPr>
              <w:t>资产评估师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或</w:t>
            </w:r>
            <w:r>
              <w:rPr>
                <w:rFonts w:eastAsia="仿宋_GB2312"/>
                <w:color w:val="000000"/>
                <w:kern w:val="0"/>
                <w:sz w:val="24"/>
              </w:rPr>
              <w:t>房地产评估师等证书。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从事不限于价格认定、公文写作、组织协调等工作。</w:t>
            </w:r>
          </w:p>
        </w:tc>
        <w:tc>
          <w:tcPr>
            <w:tcW w:w="2829" w:type="dxa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1.30周岁以下；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2.有较好的语言和沟通协调能力；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同等条件下，</w:t>
            </w:r>
            <w:r>
              <w:rPr>
                <w:rFonts w:eastAsia="仿宋_GB2312"/>
                <w:sz w:val="24"/>
              </w:rPr>
              <w:t>有党政机关、事业单位工作经验的优先考虑。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0021" w:type="dxa"/>
            <w:gridSpan w:val="5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24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340" w:lineRule="exact"/>
        <w:rPr>
          <w:rFonts w:eastAsia="仿宋_GB2312"/>
          <w:sz w:val="24"/>
        </w:rPr>
        <w:sectPr>
          <w:pgSz w:w="16838" w:h="11906" w:orient="landscape"/>
          <w:pgMar w:top="851" w:right="1021" w:bottom="851" w:left="1021" w:header="0" w:footer="0" w:gutter="0"/>
          <w:cols w:space="425" w:num="1"/>
          <w:titlePg/>
          <w:docGrid w:type="linesAndChars" w:linePitch="579" w:charSpace="-1024"/>
        </w:sectPr>
      </w:pPr>
      <w:r>
        <w:rPr>
          <w:rFonts w:eastAsia="仿宋_GB2312"/>
          <w:b/>
          <w:bCs/>
          <w:sz w:val="24"/>
        </w:rPr>
        <w:t>备注：年龄计算时间截止到2024年3月</w:t>
      </w:r>
      <w:r>
        <w:rPr>
          <w:rFonts w:hint="eastAsia" w:eastAsia="仿宋_GB2312"/>
          <w:b/>
          <w:bCs/>
          <w:sz w:val="24"/>
        </w:rPr>
        <w:t>31</w:t>
      </w:r>
      <w:r>
        <w:rPr>
          <w:rFonts w:eastAsia="仿宋_GB2312"/>
          <w:b/>
          <w:bCs/>
          <w:sz w:val="24"/>
        </w:rPr>
        <w:t>日</w:t>
      </w:r>
      <w:r>
        <w:rPr>
          <w:rFonts w:hint="eastAsia" w:eastAsia="仿宋_GB2312"/>
          <w:b/>
          <w:bCs/>
          <w:sz w:val="24"/>
          <w:lang w:eastAsia="zh-CN"/>
        </w:rPr>
        <w:t>，报考四类及以下岗位，非本市户籍需提供本市两年以上社保证明。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A0C4A"/>
    <w:rsid w:val="6E9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579" w:lineRule="exact"/>
      <w:ind w:firstLine="200" w:firstLineChars="200"/>
      <w:jc w:val="left"/>
    </w:pPr>
    <w:rPr>
      <w:rFonts w:ascii="Times New Roman" w:hAnsi="Times New Roman" w:eastAsia="仿宋_GB2312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79" w:lineRule="exact"/>
      <w:ind w:firstLine="200" w:firstLineChars="200"/>
      <w:jc w:val="center"/>
    </w:pPr>
    <w:rPr>
      <w:rFonts w:ascii="Times New Roman" w:hAnsi="Times New Roman" w:eastAsia="仿宋_GB2312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2024-03-11T08:46:00Z</dcterms:created>
  <dc:creator>hp</dc:creator>
  <cp:lastModifiedBy>hp</cp:lastModifiedBy>
  <dcterms:modified xsi:type="dcterms:W3CDTF">2024-03-11T08:47:03Z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