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  <w:t>附件3：</w:t>
      </w:r>
    </w:p>
    <w:p>
      <w:pPr>
        <w:spacing w:after="156" w:afterLines="50" w:line="520" w:lineRule="exact"/>
        <w:jc w:val="center"/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36"/>
          <w:highlight w:val="none"/>
        </w:rPr>
      </w:pPr>
      <w:r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36"/>
          <w:highlight w:val="none"/>
          <w:lang w:val="en-US" w:eastAsia="zh-CN"/>
        </w:rPr>
        <w:t>2023年三亚市天涯区</w:t>
      </w:r>
      <w:r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36"/>
          <w:highlight w:val="none"/>
        </w:rPr>
        <w:t>村（社区）工作者</w:t>
      </w:r>
      <w:r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36"/>
          <w:highlight w:val="none"/>
          <w:lang w:eastAsia="zh-CN"/>
        </w:rPr>
        <w:t>职业化管理</w:t>
      </w:r>
      <w:r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36"/>
          <w:highlight w:val="none"/>
        </w:rPr>
        <w:t>定向考核招聘</w:t>
      </w:r>
    </w:p>
    <w:p>
      <w:pPr>
        <w:spacing w:after="156" w:afterLines="50" w:line="520" w:lineRule="exact"/>
        <w:jc w:val="center"/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36"/>
          <w:highlight w:val="none"/>
        </w:rPr>
      </w:pPr>
      <w:r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36"/>
          <w:highlight w:val="none"/>
        </w:rPr>
        <w:t>民主测评表</w:t>
      </w:r>
    </w:p>
    <w:tbl>
      <w:tblPr>
        <w:tblStyle w:val="3"/>
        <w:tblW w:w="141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1010"/>
        <w:gridCol w:w="885"/>
        <w:gridCol w:w="900"/>
        <w:gridCol w:w="1065"/>
        <w:gridCol w:w="970"/>
        <w:gridCol w:w="935"/>
        <w:gridCol w:w="930"/>
        <w:gridCol w:w="945"/>
        <w:gridCol w:w="900"/>
        <w:gridCol w:w="885"/>
        <w:gridCol w:w="1095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20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highlight w:val="none"/>
              </w:rPr>
              <w:t>项目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highlight w:val="none"/>
              </w:rPr>
              <w:t>德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highlight w:val="none"/>
              </w:rPr>
              <w:t>能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highlight w:val="none"/>
              </w:rPr>
              <w:t>勤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highlight w:val="none"/>
              </w:rPr>
              <w:t>绩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highlight w:val="none"/>
              </w:rPr>
              <w:t>廉</w:t>
            </w:r>
          </w:p>
        </w:tc>
        <w:tc>
          <w:tcPr>
            <w:tcW w:w="2666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highlight w:val="none"/>
              </w:rPr>
              <w:t>综合评价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atLeast"/>
          <w:jc w:val="center"/>
        </w:trPr>
        <w:tc>
          <w:tcPr>
            <w:tcW w:w="2061" w:type="dxa"/>
            <w:vMerge w:val="restart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-1905</wp:posOffset>
                      </wp:positionV>
                      <wp:extent cx="1279525" cy="1411605"/>
                      <wp:effectExtent l="3810" t="3175" r="12065" b="1778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9525" cy="141160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9pt;margin-top:-0.15pt;height:111.15pt;width:100.75pt;z-index:251658240;mso-width-relative:page;mso-height-relative:page;" filled="f" stroked="t" coordsize="21600,21600" o:gfxdata="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7i6PU1wAAAAkBAAAP&#10;AAAAAAAAAAEAIAAAACIAAABkcnMvZG93bnJldi54bWxQSwECFAAUAAAACACHTuJAfbrMluABAACq&#10;AwAADgAAAAAAAAABACAAAAAmAQAAZHJzL2Uyb0RvYy54bWxQSwUGAAAAAAYABgBZAQAAeAUAAAAA&#10;">
                      <v:path arrowok="t"/>
                      <v:fill on="f" focussize="0,0"/>
                      <v:stroke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22860</wp:posOffset>
                      </wp:positionV>
                      <wp:extent cx="1285240" cy="758190"/>
                      <wp:effectExtent l="2540" t="3810" r="7620" b="1524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8915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9pt;margin-top:1.8pt;height:59.7pt;width:101.2pt;z-index:251659264;mso-width-relative:page;mso-height-relative:page;" filled="f" stroked="t" coordsize="21600,21600" o:gfxdata="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mRTyrNYAAAAJ&#10;AQAADwAAAAAAAAABACAAAAAiAAAAZHJzL2Rvd25yZXYueG1sUEsBAhQAFAAAAAgAh07iQKxFHl3l&#10;AQAAqQMAAA4AAAAAAAAAAQAgAAAAJQEAAGRycy9lMm9Eb2MueG1sUEsFBgAAAAAGAAYAWQEAAHwF&#10;AAAAAA==&#10;">
                      <v:path arrowok="t"/>
                      <v:fill on="f" focussize="0,0"/>
                      <v:stroke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spacing w:line="360" w:lineRule="exact"/>
              <w:ind w:firstLine="1260" w:firstLineChars="600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/>
              </w:rPr>
              <w:t>内容</w:t>
            </w:r>
          </w:p>
          <w:p>
            <w:pPr>
              <w:spacing w:line="360" w:lineRule="exact"/>
              <w:ind w:firstLine="840" w:firstLineChars="400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  <w:p>
            <w:pPr>
              <w:spacing w:line="360" w:lineRule="exact"/>
              <w:ind w:firstLine="1260" w:firstLineChars="600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/>
              </w:rPr>
              <w:t>等次</w:t>
            </w:r>
          </w:p>
          <w:p>
            <w:pPr>
              <w:spacing w:line="360" w:lineRule="exact"/>
              <w:ind w:firstLine="420" w:firstLineChars="200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被考核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</w:p>
          <w:p>
            <w:pPr>
              <w:spacing w:line="360" w:lineRule="exact"/>
              <w:ind w:firstLine="420" w:firstLineChars="200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人姓名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95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政治立场、政策法制观念、组织纪律观念、社会主义荣辱观</w:t>
            </w:r>
          </w:p>
        </w:tc>
        <w:tc>
          <w:tcPr>
            <w:tcW w:w="1965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业务知识水平和实际工作能力、起到模范带头作用</w:t>
            </w:r>
          </w:p>
        </w:tc>
        <w:tc>
          <w:tcPr>
            <w:tcW w:w="1905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出勤情况、工作态度和服务精神</w:t>
            </w:r>
          </w:p>
        </w:tc>
        <w:tc>
          <w:tcPr>
            <w:tcW w:w="1875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完成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/>
              </w:rPr>
              <w:t>工作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任务情况、质量和效率、效益，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/>
              </w:rPr>
              <w:t>党员、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群众满意度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廉洁从政、廉洁自律</w:t>
            </w:r>
          </w:p>
        </w:tc>
        <w:tc>
          <w:tcPr>
            <w:tcW w:w="2666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2061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/>
              </w:rPr>
              <w:t>合格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/>
              </w:rPr>
              <w:t>不合格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/>
              </w:rPr>
              <w:t>合格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/>
              </w:rPr>
              <w:t>不合格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/>
              </w:rPr>
              <w:t>合格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/>
              </w:rPr>
              <w:t>不合格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/>
              </w:rPr>
              <w:t>合格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/>
              </w:rPr>
              <w:t>不合格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/>
              </w:rPr>
              <w:t>合格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/>
              </w:rPr>
              <w:t>不合格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/>
              </w:rPr>
              <w:t>合格</w:t>
            </w:r>
          </w:p>
        </w:tc>
        <w:tc>
          <w:tcPr>
            <w:tcW w:w="1571" w:type="dxa"/>
            <w:tcBorders>
              <w:top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0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0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0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0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0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</w:p>
        </w:tc>
      </w:tr>
    </w:tbl>
    <w:p>
      <w:pPr>
        <w:spacing w:line="220" w:lineRule="exact"/>
        <w:ind w:left="510" w:hanging="510" w:hangingChars="300"/>
        <w:rPr>
          <w:rFonts w:hint="eastAsia" w:ascii="Times New Roman" w:hAnsi="Times New Roman" w:eastAsia="仿宋_GB2312"/>
          <w:color w:val="auto"/>
          <w:spacing w:val="-20"/>
          <w:kern w:val="0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00" w:leftChars="0" w:right="0" w:rightChars="0" w:hanging="600" w:hangingChars="3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pacing w:val="-20"/>
          <w:kern w:val="0"/>
          <w:sz w:val="24"/>
          <w:szCs w:val="24"/>
          <w:highlight w:val="none"/>
        </w:rPr>
        <w:sectPr>
          <w:pgSz w:w="16838" w:h="11906" w:orient="landscape"/>
          <w:pgMar w:top="1587" w:right="2098" w:bottom="1474" w:left="1984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5" w:charSpace="0"/>
        </w:sectPr>
      </w:pPr>
      <w:r>
        <w:rPr>
          <w:rFonts w:hint="eastAsia" w:ascii="Times New Roman" w:hAnsi="Times New Roman" w:eastAsia="仿宋_GB2312"/>
          <w:color w:val="auto"/>
          <w:spacing w:val="-20"/>
          <w:kern w:val="0"/>
          <w:sz w:val="24"/>
          <w:szCs w:val="24"/>
          <w:highlight w:val="none"/>
        </w:rPr>
        <w:t>说明：1、请在测评表内打“√”，每项内容只能选一个等次，不选或多选无效。2、“综合评价”栏内的等次要注意平衡，不要前后矛盾。具体标准为：（1）</w:t>
      </w:r>
      <w:r>
        <w:rPr>
          <w:rFonts w:hint="eastAsia" w:ascii="Times New Roman" w:hAnsi="Times New Roman" w:eastAsia="仿宋_GB2312"/>
          <w:color w:val="auto"/>
          <w:spacing w:val="-20"/>
          <w:kern w:val="0"/>
          <w:sz w:val="24"/>
          <w:szCs w:val="24"/>
          <w:highlight w:val="none"/>
          <w:lang w:eastAsia="zh-CN"/>
        </w:rPr>
        <w:t>合格</w:t>
      </w:r>
      <w:r>
        <w:rPr>
          <w:rFonts w:hint="eastAsia" w:ascii="Times New Roman" w:hAnsi="Times New Roman" w:eastAsia="仿宋_GB2312"/>
          <w:color w:val="auto"/>
          <w:spacing w:val="-20"/>
          <w:kern w:val="0"/>
          <w:sz w:val="24"/>
          <w:szCs w:val="24"/>
          <w:highlight w:val="none"/>
        </w:rPr>
        <w:t>：</w:t>
      </w:r>
      <w:r>
        <w:rPr>
          <w:rFonts w:hint="eastAsia" w:ascii="Times New Roman" w:hAnsi="Times New Roman" w:eastAsia="仿宋_GB2312"/>
          <w:color w:val="auto"/>
          <w:spacing w:val="-20"/>
          <w:kern w:val="0"/>
          <w:sz w:val="24"/>
          <w:szCs w:val="24"/>
          <w:highlight w:val="none"/>
          <w:lang w:eastAsia="zh-CN"/>
        </w:rPr>
        <w:t>三个及以上</w:t>
      </w:r>
      <w:r>
        <w:rPr>
          <w:rFonts w:hint="eastAsia" w:ascii="Times New Roman" w:hAnsi="Times New Roman" w:eastAsia="仿宋_GB2312"/>
          <w:color w:val="auto"/>
          <w:spacing w:val="-20"/>
          <w:kern w:val="0"/>
          <w:sz w:val="24"/>
          <w:szCs w:val="24"/>
          <w:highlight w:val="none"/>
        </w:rPr>
        <w:t>项目的等次都必须是“</w:t>
      </w:r>
      <w:r>
        <w:rPr>
          <w:rFonts w:hint="eastAsia" w:ascii="Times New Roman" w:hAnsi="Times New Roman" w:eastAsia="仿宋_GB2312"/>
          <w:color w:val="auto"/>
          <w:spacing w:val="-20"/>
          <w:kern w:val="0"/>
          <w:sz w:val="24"/>
          <w:szCs w:val="24"/>
          <w:highlight w:val="none"/>
          <w:lang w:eastAsia="zh-CN"/>
        </w:rPr>
        <w:t>合格</w:t>
      </w:r>
      <w:r>
        <w:rPr>
          <w:rFonts w:hint="eastAsia" w:ascii="Times New Roman" w:hAnsi="Times New Roman" w:eastAsia="仿宋_GB2312"/>
          <w:color w:val="auto"/>
          <w:spacing w:val="-20"/>
          <w:kern w:val="0"/>
          <w:sz w:val="24"/>
          <w:szCs w:val="24"/>
          <w:highlight w:val="none"/>
        </w:rPr>
        <w:t>”；（2）不</w:t>
      </w:r>
      <w:r>
        <w:rPr>
          <w:rFonts w:hint="eastAsia" w:ascii="Times New Roman" w:hAnsi="Times New Roman" w:eastAsia="仿宋_GB2312"/>
          <w:color w:val="auto"/>
          <w:spacing w:val="-20"/>
          <w:kern w:val="0"/>
          <w:sz w:val="24"/>
          <w:szCs w:val="24"/>
          <w:highlight w:val="none"/>
          <w:lang w:eastAsia="zh-CN"/>
        </w:rPr>
        <w:t>合格</w:t>
      </w:r>
      <w:r>
        <w:rPr>
          <w:rFonts w:hint="eastAsia" w:ascii="Times New Roman" w:hAnsi="Times New Roman" w:eastAsia="仿宋_GB2312"/>
          <w:color w:val="auto"/>
          <w:spacing w:val="-20"/>
          <w:kern w:val="0"/>
          <w:sz w:val="24"/>
          <w:szCs w:val="24"/>
          <w:highlight w:val="none"/>
        </w:rPr>
        <w:t>：三个</w:t>
      </w:r>
      <w:r>
        <w:rPr>
          <w:rFonts w:hint="eastAsia" w:ascii="Times New Roman" w:hAnsi="Times New Roman" w:eastAsia="仿宋_GB2312"/>
          <w:color w:val="auto"/>
          <w:spacing w:val="-20"/>
          <w:kern w:val="0"/>
          <w:sz w:val="24"/>
          <w:szCs w:val="24"/>
          <w:highlight w:val="none"/>
          <w:lang w:eastAsia="zh-CN"/>
        </w:rPr>
        <w:t>及</w:t>
      </w:r>
      <w:r>
        <w:rPr>
          <w:rFonts w:hint="eastAsia" w:ascii="Times New Roman" w:hAnsi="Times New Roman" w:eastAsia="仿宋_GB2312"/>
          <w:color w:val="auto"/>
          <w:spacing w:val="-20"/>
          <w:kern w:val="0"/>
          <w:sz w:val="24"/>
          <w:szCs w:val="24"/>
          <w:highlight w:val="none"/>
        </w:rPr>
        <w:t>以上项目的等次为“</w:t>
      </w:r>
      <w:r>
        <w:rPr>
          <w:rFonts w:hint="eastAsia" w:ascii="Times New Roman" w:hAnsi="Times New Roman" w:eastAsia="仿宋_GB2312"/>
          <w:color w:val="auto"/>
          <w:spacing w:val="-20"/>
          <w:kern w:val="0"/>
          <w:sz w:val="24"/>
          <w:szCs w:val="24"/>
          <w:highlight w:val="none"/>
          <w:lang w:eastAsia="zh-CN"/>
        </w:rPr>
        <w:t>不合格</w:t>
      </w:r>
      <w:r>
        <w:rPr>
          <w:rFonts w:hint="eastAsia" w:ascii="Times New Roman" w:hAnsi="Times New Roman" w:eastAsia="仿宋_GB2312"/>
          <w:color w:val="auto"/>
          <w:spacing w:val="-20"/>
          <w:kern w:val="0"/>
          <w:sz w:val="24"/>
          <w:szCs w:val="24"/>
          <w:highlight w:val="none"/>
        </w:rPr>
        <w:t>”</w:t>
      </w:r>
      <w:bookmarkStart w:id="0" w:name="_GoBack"/>
      <w:bookmarkEnd w:id="0"/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D7DC6"/>
    <w:rsid w:val="0E5715AE"/>
    <w:rsid w:val="13AD7DC6"/>
    <w:rsid w:val="6EE9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天涯区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2023-12-08T07:21:00Z</dcterms:created>
  <dc:creator>qwez</dc:creator>
  <cp:lastModifiedBy>qwez</cp:lastModifiedBy>
  <dcterms:modified xsi:type="dcterms:W3CDTF">2023-12-08T07:24:02Z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