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4"/>
          <w:lang w:val="en-US" w:eastAsia="zh-CN"/>
        </w:rPr>
        <w:t>逢源街道</w:t>
      </w: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公开招聘编外人员报名表</w:t>
      </w:r>
    </w:p>
    <w:p>
      <w:pPr>
        <w:widowControl w:val="0"/>
        <w:wordWrap/>
        <w:adjustRightInd/>
        <w:snapToGrid/>
        <w:spacing w:line="320" w:lineRule="exact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填报日期：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贴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相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现户籍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广州市荔湾区逢源街道综合服务中心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报考岗位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学习、工作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经历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tbl>
      <w:tblPr>
        <w:tblStyle w:val="4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vAlign w:val="top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vAlign w:val="bottom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3"/>
              <w:widowControl w:val="0"/>
              <w:wordWrap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 w:val="0"/>
              <w:wordWrap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widowControl w:val="0"/>
              <w:wordWrap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6"/>
        <w:widowControl w:val="0"/>
        <w:wordWrap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6"/>
        <w:widowControl w:val="0"/>
        <w:wordWrap/>
        <w:adjustRightInd/>
        <w:snapToGrid/>
        <w:spacing w:line="320" w:lineRule="exact"/>
        <w:ind w:left="0" w:leftChars="0" w:firstLine="641" w:firstLineChars="311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p/>
    <w:sectPr>
      <w:pgSz w:w="11906" w:h="16838"/>
      <w:pgMar w:top="1928" w:right="1474" w:bottom="1134" w:left="1587" w:header="851" w:footer="1531" w:gutter="0"/>
      <w:cols w:space="72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iYzIwYmEzNDIyZmYzZDAzZmY0YjBkMzAzZDdmNTUifQ=="/>
  </w:docVars>
  <w:rsids>
    <w:rsidRoot w:val="4FE248D6"/>
    <w:rsid w:val="3B0A05D4"/>
    <w:rsid w:val="4FE2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1"/>
    <w:qFormat/>
    <w:uiPriority w:val="0"/>
    <w:pPr>
      <w:jc w:val="center"/>
    </w:pPr>
    <w:rPr>
      <w:rFonts w:ascii="Calibri" w:hAnsi="Calibri" w:eastAsia="宋体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customStyle="1" w:styleId="6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2023-10-20T08:32:00Z</dcterms:created>
  <dc:creator>Administrator</dc:creator>
  <cp:lastModifiedBy>and心如</cp:lastModifiedBy>
  <dcterms:modified xsi:type="dcterms:W3CDTF">2023-10-27T09:59:08Z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32B6518A3D8A44259216DABB31900CCB_11</vt:lpwstr>
  </property>
</Properties>
</file>