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center"/>
        <w:textAlignment w:val="auto"/>
        <w:rPr>
          <w:rFonts w:hint="default" w:ascii="Times New Roman" w:hAnsi="Times New Roman" w:eastAsia="方正小标宋简体" w:cs="Times New Roman"/>
          <w:sz w:val="32"/>
          <w:szCs w:val="32"/>
          <w:highlight w:val="none"/>
          <w:lang w:val="en-US" w:eastAsia="zh-CN"/>
        </w:rPr>
      </w:pPr>
      <w:r>
        <w:rPr>
          <w:rFonts w:hint="default" w:ascii="Times New Roman" w:hAnsi="Times New Roman" w:eastAsia="方正小标宋简体" w:cs="Times New Roman"/>
          <w:sz w:val="32"/>
          <w:szCs w:val="32"/>
          <w:highlight w:val="none"/>
          <w:lang w:val="en-US" w:eastAsia="zh-CN"/>
        </w:rPr>
        <w:t>202</w:t>
      </w:r>
      <w:r>
        <w:rPr>
          <w:rFonts w:hint="eastAsia" w:ascii="Times New Roman" w:hAnsi="Times New Roman" w:eastAsia="方正小标宋简体" w:cs="Times New Roman"/>
          <w:sz w:val="32"/>
          <w:szCs w:val="32"/>
          <w:highlight w:val="none"/>
          <w:lang w:val="en-US" w:eastAsia="zh-CN"/>
        </w:rPr>
        <w:t>3</w:t>
      </w:r>
      <w:bookmarkStart w:id="0" w:name="_GoBack"/>
      <w:bookmarkEnd w:id="0"/>
      <w:r>
        <w:rPr>
          <w:rFonts w:hint="default" w:ascii="Times New Roman" w:hAnsi="Times New Roman" w:eastAsia="方正小标宋简体" w:cs="Times New Roman"/>
          <w:sz w:val="32"/>
          <w:szCs w:val="32"/>
          <w:highlight w:val="none"/>
          <w:lang w:val="en-US" w:eastAsia="zh-CN"/>
        </w:rPr>
        <w:t>年成都市温江区市场监督管理局公开</w:t>
      </w:r>
      <w:r>
        <w:rPr>
          <w:rFonts w:hint="eastAsia" w:ascii="Times New Roman" w:hAnsi="Times New Roman" w:eastAsia="方正小标宋简体" w:cs="Times New Roman"/>
          <w:sz w:val="32"/>
          <w:szCs w:val="32"/>
          <w:highlight w:val="none"/>
          <w:lang w:val="en-US" w:eastAsia="zh-CN"/>
        </w:rPr>
        <w:t>招聘</w:t>
      </w:r>
      <w:r>
        <w:rPr>
          <w:rFonts w:hint="default" w:ascii="Times New Roman" w:hAnsi="Times New Roman" w:eastAsia="方正小标宋简体" w:cs="Times New Roman"/>
          <w:sz w:val="32"/>
          <w:szCs w:val="32"/>
          <w:highlight w:val="none"/>
          <w:lang w:val="en-US" w:eastAsia="zh-CN"/>
        </w:rPr>
        <w:t>编外专业技术人员岗位表</w:t>
      </w:r>
    </w:p>
    <w:p/>
    <w:tbl>
      <w:tblPr>
        <w:tblStyle w:val="4"/>
        <w:tblW w:w="129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29"/>
        <w:gridCol w:w="597"/>
        <w:gridCol w:w="1382"/>
        <w:gridCol w:w="1296"/>
        <w:gridCol w:w="1620"/>
        <w:gridCol w:w="6401"/>
        <w:gridCol w:w="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9"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黑体" w:cs="Times New Roman"/>
                <w:b w:val="0"/>
                <w:bCs/>
                <w:i w:val="0"/>
                <w:color w:val="000000"/>
                <w:kern w:val="0"/>
                <w:sz w:val="20"/>
                <w:szCs w:val="20"/>
                <w:highlight w:val="none"/>
                <w:u w:val="none"/>
                <w:lang w:val="en-US" w:eastAsia="zh-CN" w:bidi="ar"/>
              </w:rPr>
            </w:pPr>
            <w:r>
              <w:rPr>
                <w:rFonts w:hint="eastAsia" w:ascii="Times New Roman" w:hAnsi="Times New Roman" w:eastAsia="黑体" w:cs="Times New Roman"/>
                <w:b w:val="0"/>
                <w:bCs/>
                <w:i w:val="0"/>
                <w:color w:val="000000"/>
                <w:kern w:val="0"/>
                <w:sz w:val="20"/>
                <w:szCs w:val="20"/>
                <w:highlight w:val="none"/>
                <w:u w:val="none"/>
                <w:lang w:val="en-US" w:eastAsia="zh-CN" w:bidi="ar"/>
              </w:rPr>
              <w:t>岗 位</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黑体" w:cs="Times New Roman"/>
                <w:b w:val="0"/>
                <w:bCs/>
                <w:i w:val="0"/>
                <w:color w:val="000000"/>
                <w:sz w:val="20"/>
                <w:szCs w:val="20"/>
                <w:highlight w:val="none"/>
                <w:u w:val="none"/>
              </w:rPr>
            </w:pPr>
            <w:r>
              <w:rPr>
                <w:rFonts w:hint="default" w:ascii="Times New Roman" w:hAnsi="Times New Roman" w:eastAsia="黑体" w:cs="Times New Roman"/>
                <w:b w:val="0"/>
                <w:bCs/>
                <w:i w:val="0"/>
                <w:color w:val="000000"/>
                <w:kern w:val="0"/>
                <w:sz w:val="20"/>
                <w:szCs w:val="20"/>
                <w:highlight w:val="none"/>
                <w:u w:val="none"/>
                <w:lang w:val="en-US" w:eastAsia="zh-CN" w:bidi="ar"/>
              </w:rPr>
              <w:t>名 称</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黑体" w:cs="Times New Roman"/>
                <w:b w:val="0"/>
                <w:bCs/>
                <w:i w:val="0"/>
                <w:color w:val="000000"/>
                <w:sz w:val="20"/>
                <w:szCs w:val="20"/>
                <w:highlight w:val="none"/>
                <w:u w:val="none"/>
              </w:rPr>
            </w:pPr>
            <w:r>
              <w:rPr>
                <w:rFonts w:hint="default" w:ascii="Times New Roman" w:hAnsi="Times New Roman" w:eastAsia="黑体" w:cs="Times New Roman"/>
                <w:b w:val="0"/>
                <w:bCs/>
                <w:i w:val="0"/>
                <w:color w:val="000000"/>
                <w:kern w:val="0"/>
                <w:sz w:val="20"/>
                <w:szCs w:val="20"/>
                <w:highlight w:val="none"/>
                <w:u w:val="none"/>
                <w:lang w:val="en-US" w:eastAsia="zh-CN" w:bidi="ar"/>
              </w:rPr>
              <w:t>招聘人数</w:t>
            </w:r>
          </w:p>
        </w:tc>
        <w:tc>
          <w:tcPr>
            <w:tcW w:w="13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黑体" w:cs="Times New Roman"/>
                <w:b w:val="0"/>
                <w:bCs/>
                <w:i w:val="0"/>
                <w:color w:val="000000"/>
                <w:sz w:val="20"/>
                <w:szCs w:val="20"/>
                <w:highlight w:val="none"/>
                <w:u w:val="none"/>
              </w:rPr>
            </w:pPr>
            <w:r>
              <w:rPr>
                <w:rFonts w:hint="default" w:ascii="Times New Roman" w:hAnsi="Times New Roman" w:eastAsia="黑体" w:cs="Times New Roman"/>
                <w:b w:val="0"/>
                <w:bCs/>
                <w:i w:val="0"/>
                <w:color w:val="000000"/>
                <w:kern w:val="0"/>
                <w:sz w:val="20"/>
                <w:szCs w:val="20"/>
                <w:highlight w:val="none"/>
                <w:u w:val="none"/>
                <w:lang w:val="en-US" w:eastAsia="zh-CN" w:bidi="ar"/>
              </w:rPr>
              <w:t>专 业</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黑体" w:cs="Times New Roman"/>
                <w:b w:val="0"/>
                <w:bCs/>
                <w:i w:val="0"/>
                <w:color w:val="000000"/>
                <w:sz w:val="20"/>
                <w:szCs w:val="20"/>
                <w:highlight w:val="none"/>
                <w:u w:val="none"/>
              </w:rPr>
            </w:pPr>
            <w:r>
              <w:rPr>
                <w:rFonts w:hint="default" w:ascii="Times New Roman" w:hAnsi="Times New Roman" w:eastAsia="黑体" w:cs="Times New Roman"/>
                <w:b w:val="0"/>
                <w:bCs/>
                <w:i w:val="0"/>
                <w:color w:val="000000"/>
                <w:kern w:val="0"/>
                <w:sz w:val="20"/>
                <w:szCs w:val="20"/>
                <w:highlight w:val="none"/>
                <w:u w:val="none"/>
                <w:lang w:val="en-US" w:eastAsia="zh-CN" w:bidi="ar"/>
              </w:rPr>
              <w:t>学历学位</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黑体" w:cs="Times New Roman"/>
                <w:b w:val="0"/>
                <w:bCs/>
                <w:i w:val="0"/>
                <w:color w:val="000000"/>
                <w:kern w:val="0"/>
                <w:sz w:val="20"/>
                <w:szCs w:val="20"/>
                <w:highlight w:val="none"/>
                <w:u w:val="none"/>
                <w:lang w:val="en-US" w:eastAsia="zh-CN" w:bidi="ar"/>
              </w:rPr>
            </w:pPr>
            <w:r>
              <w:rPr>
                <w:rFonts w:hint="eastAsia" w:ascii="Times New Roman" w:hAnsi="Times New Roman" w:eastAsia="黑体" w:cs="Times New Roman"/>
                <w:b w:val="0"/>
                <w:bCs/>
                <w:i w:val="0"/>
                <w:color w:val="000000"/>
                <w:kern w:val="0"/>
                <w:sz w:val="20"/>
                <w:szCs w:val="20"/>
                <w:highlight w:val="none"/>
                <w:u w:val="none"/>
                <w:lang w:val="en-US" w:eastAsia="zh-CN" w:bidi="ar"/>
              </w:rPr>
              <w:t>其他要求</w:t>
            </w:r>
          </w:p>
        </w:tc>
        <w:tc>
          <w:tcPr>
            <w:tcW w:w="6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黑体" w:cs="Times New Roman"/>
                <w:b w:val="0"/>
                <w:bCs/>
                <w:i w:val="0"/>
                <w:color w:val="000000"/>
                <w:sz w:val="20"/>
                <w:szCs w:val="20"/>
                <w:highlight w:val="none"/>
                <w:u w:val="none"/>
              </w:rPr>
            </w:pPr>
            <w:r>
              <w:rPr>
                <w:rFonts w:hint="default" w:ascii="Times New Roman" w:hAnsi="Times New Roman" w:eastAsia="黑体" w:cs="Times New Roman"/>
                <w:b w:val="0"/>
                <w:bCs/>
                <w:i w:val="0"/>
                <w:color w:val="000000"/>
                <w:kern w:val="0"/>
                <w:sz w:val="20"/>
                <w:szCs w:val="20"/>
                <w:highlight w:val="none"/>
                <w:u w:val="none"/>
                <w:lang w:val="en-US" w:eastAsia="zh-CN" w:bidi="ar"/>
              </w:rPr>
              <w:t>岗位职责</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default" w:ascii="Times New Roman" w:hAnsi="Times New Roman" w:eastAsia="黑体" w:cs="Times New Roman"/>
                <w:b w:val="0"/>
                <w:bCs/>
                <w:i w:val="0"/>
                <w:color w:val="000000"/>
                <w:sz w:val="20"/>
                <w:szCs w:val="20"/>
                <w:highlight w:val="none"/>
                <w:u w:val="none"/>
                <w:lang w:eastAsia="zh-CN"/>
              </w:rPr>
            </w:pPr>
            <w:r>
              <w:rPr>
                <w:rFonts w:hint="default" w:ascii="Times New Roman" w:hAnsi="Times New Roman" w:eastAsia="黑体" w:cs="Times New Roman"/>
                <w:b w:val="0"/>
                <w:bCs/>
                <w:i w:val="0"/>
                <w:color w:val="000000"/>
                <w:sz w:val="20"/>
                <w:szCs w:val="20"/>
                <w:highlight w:val="none"/>
                <w:u w:val="none"/>
                <w:lang w:eastAsia="zh-CN"/>
              </w:rPr>
              <w:t>薪酬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16" w:hRule="atLeast"/>
        </w:trPr>
        <w:tc>
          <w:tcPr>
            <w:tcW w:w="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小标宋_GBK" w:cs="Times New Roman"/>
                <w:i w:val="0"/>
                <w:color w:val="000000"/>
                <w:kern w:val="0"/>
                <w:sz w:val="18"/>
                <w:szCs w:val="18"/>
                <w:highlight w:val="none"/>
                <w:u w:val="none"/>
                <w:lang w:val="en-US" w:eastAsia="zh-CN" w:bidi="ar"/>
              </w:rPr>
            </w:pPr>
            <w:r>
              <w:rPr>
                <w:rFonts w:hint="default" w:ascii="Times New Roman" w:hAnsi="Times New Roman" w:eastAsia="方正小标宋_GBK" w:cs="Times New Roman"/>
                <w:i w:val="0"/>
                <w:color w:val="000000"/>
                <w:kern w:val="0"/>
                <w:sz w:val="18"/>
                <w:szCs w:val="18"/>
                <w:highlight w:val="none"/>
                <w:u w:val="none"/>
                <w:lang w:val="en-US" w:eastAsia="zh-CN" w:bidi="ar"/>
              </w:rPr>
              <w:t>知识产权维权援助</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小标宋_GBK" w:cs="Times New Roman"/>
                <w:i w:val="0"/>
                <w:color w:val="000000"/>
                <w:kern w:val="0"/>
                <w:sz w:val="18"/>
                <w:szCs w:val="18"/>
                <w:highlight w:val="none"/>
                <w:u w:val="none"/>
                <w:lang w:val="en-US" w:eastAsia="zh-CN" w:bidi="ar"/>
              </w:rPr>
            </w:pPr>
            <w:r>
              <w:rPr>
                <w:rFonts w:hint="default" w:ascii="Times New Roman" w:hAnsi="Times New Roman" w:eastAsia="方正小标宋_GBK" w:cs="Times New Roman"/>
                <w:i w:val="0"/>
                <w:color w:val="000000"/>
                <w:kern w:val="0"/>
                <w:sz w:val="18"/>
                <w:szCs w:val="18"/>
                <w:highlight w:val="none"/>
                <w:u w:val="none"/>
                <w:lang w:val="en-US" w:eastAsia="zh-CN" w:bidi="ar"/>
              </w:rPr>
              <w:t>辅助人员</w:t>
            </w:r>
          </w:p>
        </w:tc>
        <w:tc>
          <w:tcPr>
            <w:tcW w:w="5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小标宋_GBK" w:cs="Times New Roman"/>
                <w:i w:val="0"/>
                <w:color w:val="000000"/>
                <w:sz w:val="18"/>
                <w:szCs w:val="18"/>
                <w:highlight w:val="none"/>
                <w:u w:val="none"/>
                <w:lang w:val="en-US" w:eastAsia="zh-CN"/>
              </w:rPr>
            </w:pPr>
            <w:r>
              <w:rPr>
                <w:rFonts w:hint="eastAsia" w:ascii="Times New Roman" w:hAnsi="Times New Roman" w:eastAsia="方正小标宋_GBK" w:cs="Times New Roman"/>
                <w:i w:val="0"/>
                <w:color w:val="000000"/>
                <w:sz w:val="18"/>
                <w:szCs w:val="18"/>
                <w:highlight w:val="none"/>
                <w:u w:val="none"/>
                <w:lang w:val="en-US" w:eastAsia="zh-CN"/>
              </w:rPr>
              <w:t>1</w:t>
            </w:r>
          </w:p>
        </w:tc>
        <w:tc>
          <w:tcPr>
            <w:tcW w:w="1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default" w:ascii="Times New Roman" w:hAnsi="Times New Roman" w:eastAsia="方正小标宋_GBK" w:cs="Times New Roman"/>
                <w:i w:val="0"/>
                <w:color w:val="000000"/>
                <w:sz w:val="18"/>
                <w:szCs w:val="18"/>
                <w:highlight w:val="none"/>
                <w:u w:val="none"/>
              </w:rPr>
            </w:pPr>
            <w:r>
              <w:rPr>
                <w:rFonts w:hint="default" w:ascii="Times New Roman" w:hAnsi="Times New Roman" w:eastAsia="方正小标宋_GBK" w:cs="Times New Roman"/>
                <w:i w:val="0"/>
                <w:color w:val="000000"/>
                <w:kern w:val="0"/>
                <w:sz w:val="18"/>
                <w:szCs w:val="18"/>
                <w:highlight w:val="none"/>
                <w:u w:val="none"/>
                <w:lang w:val="en-US" w:eastAsia="zh-CN" w:bidi="ar"/>
              </w:rPr>
              <w:t>法学；经济学；工商管理；计算机科学与技术；机械工程</w:t>
            </w:r>
            <w:r>
              <w:rPr>
                <w:rFonts w:hint="eastAsia" w:ascii="Times New Roman" w:hAnsi="Times New Roman" w:eastAsia="方正小标宋_GBK" w:cs="Times New Roman"/>
                <w:i w:val="0"/>
                <w:color w:val="000000"/>
                <w:kern w:val="0"/>
                <w:sz w:val="18"/>
                <w:szCs w:val="18"/>
                <w:highlight w:val="none"/>
                <w:u w:val="none"/>
                <w:lang w:val="en-US" w:eastAsia="zh-CN" w:bidi="ar"/>
              </w:rPr>
              <w:t>；文学。</w:t>
            </w:r>
          </w:p>
        </w:tc>
        <w:tc>
          <w:tcPr>
            <w:tcW w:w="12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小标宋_GBK" w:cs="Times New Roman"/>
                <w:i w:val="0"/>
                <w:color w:val="000000"/>
                <w:kern w:val="0"/>
                <w:sz w:val="18"/>
                <w:szCs w:val="18"/>
                <w:highlight w:val="none"/>
                <w:u w:val="none"/>
                <w:lang w:val="en-US" w:eastAsia="zh-CN" w:bidi="ar"/>
              </w:rPr>
            </w:pPr>
            <w:r>
              <w:rPr>
                <w:rFonts w:hint="default" w:ascii="Times New Roman" w:hAnsi="Times New Roman" w:eastAsia="方正小标宋_GBK" w:cs="Times New Roman"/>
                <w:i w:val="0"/>
                <w:color w:val="000000"/>
                <w:kern w:val="0"/>
                <w:sz w:val="18"/>
                <w:szCs w:val="18"/>
                <w:highlight w:val="none"/>
                <w:u w:val="none"/>
                <w:lang w:val="en-US" w:eastAsia="zh-CN" w:bidi="ar"/>
              </w:rPr>
              <w:t>普通高等教育本科及以上，取得学历相应学位。</w:t>
            </w:r>
          </w:p>
        </w:tc>
        <w:tc>
          <w:tcPr>
            <w:tcW w:w="162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小标宋_GBK" w:cs="Times New Roman"/>
                <w:i w:val="0"/>
                <w:color w:val="000000"/>
                <w:kern w:val="0"/>
                <w:sz w:val="18"/>
                <w:szCs w:val="18"/>
                <w:highlight w:val="none"/>
                <w:u w:val="none"/>
                <w:lang w:val="en-US" w:eastAsia="zh-CN" w:bidi="ar"/>
              </w:rPr>
            </w:pPr>
            <w:r>
              <w:rPr>
                <w:rFonts w:hint="eastAsia" w:ascii="Times New Roman" w:hAnsi="Times New Roman" w:eastAsia="方正小标宋_GBK" w:cs="Times New Roman"/>
                <w:i w:val="0"/>
                <w:color w:val="000000"/>
                <w:kern w:val="0"/>
                <w:sz w:val="18"/>
                <w:szCs w:val="18"/>
                <w:highlight w:val="none"/>
                <w:u w:val="none"/>
                <w:lang w:val="en-US" w:eastAsia="zh-CN" w:bidi="ar"/>
              </w:rPr>
              <w:t>年龄35周岁（含）以下</w:t>
            </w:r>
          </w:p>
        </w:tc>
        <w:tc>
          <w:tcPr>
            <w:tcW w:w="6401" w:type="dxa"/>
            <w:tcBorders>
              <w:top w:val="single" w:color="000000" w:sz="4" w:space="0"/>
              <w:left w:val="single" w:color="000000" w:sz="4" w:space="0"/>
              <w:bottom w:val="single" w:color="auto" w:sz="4" w:space="0"/>
              <w:right w:val="single" w:color="000000" w:sz="4" w:space="0"/>
            </w:tcBorders>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default" w:ascii="Times New Roman" w:hAnsi="Times New Roman" w:eastAsia="方正小标宋_GBK" w:cs="Times New Roman"/>
                <w:i w:val="0"/>
                <w:color w:val="000000"/>
                <w:sz w:val="18"/>
                <w:szCs w:val="18"/>
                <w:highlight w:val="none"/>
                <w:u w:val="none"/>
              </w:rPr>
            </w:pPr>
            <w:r>
              <w:rPr>
                <w:rFonts w:hint="default" w:ascii="Times New Roman" w:hAnsi="Times New Roman" w:eastAsia="方正小标宋_GBK" w:cs="Times New Roman"/>
                <w:i w:val="0"/>
                <w:color w:val="000000"/>
                <w:kern w:val="0"/>
                <w:sz w:val="18"/>
                <w:szCs w:val="18"/>
                <w:highlight w:val="none"/>
                <w:u w:val="none"/>
                <w:lang w:val="en-US" w:eastAsia="zh-CN" w:bidi="ar"/>
              </w:rPr>
              <w:t>知识产权快速维权保护：1.快速维权。协助知识产权局查处假冒专利行为、调解专利纠纷；对接大型电子商务平台，构建优势产业线上维权机制和专利保护合作机制，协助做好线上专利侵权判定咨询工作。2.举报投诉。开通12330知识产权举报投诉热线电话，对接全国知识产权维权援助与举报投诉网络平台，建立举报投诉快速反应机制，实现快速移交、快速办理、快速反馈。3.海外维权。在知识产权局的领导下，建立海外知识产权维权专家库，推动设立专项基金，支持鼓励企业积极应对海外知识产权纠纷，为企业海外参展提供知识产权快速维权服务。4.加大对失信行为惩戒力度。建立产业知识产权失信</w:t>
            </w:r>
            <w:r>
              <w:rPr>
                <w:rFonts w:hint="eastAsia" w:ascii="Times New Roman" w:hAnsi="Times New Roman" w:eastAsia="方正小标宋_GBK" w:cs="Times New Roman"/>
                <w:i w:val="0"/>
                <w:color w:val="000000"/>
                <w:kern w:val="0"/>
                <w:sz w:val="18"/>
                <w:szCs w:val="18"/>
                <w:highlight w:val="none"/>
                <w:u w:val="none"/>
                <w:lang w:val="en-US" w:eastAsia="zh-CN" w:bidi="ar"/>
              </w:rPr>
              <w:t>“</w:t>
            </w:r>
            <w:r>
              <w:rPr>
                <w:rFonts w:hint="default" w:ascii="Times New Roman" w:hAnsi="Times New Roman" w:eastAsia="方正小标宋_GBK" w:cs="Times New Roman"/>
                <w:i w:val="0"/>
                <w:color w:val="000000"/>
                <w:kern w:val="0"/>
                <w:sz w:val="18"/>
                <w:szCs w:val="18"/>
                <w:highlight w:val="none"/>
                <w:u w:val="none"/>
                <w:lang w:val="en-US" w:eastAsia="zh-CN" w:bidi="ar"/>
              </w:rPr>
              <w:t>黑名单</w:t>
            </w:r>
            <w:r>
              <w:rPr>
                <w:rFonts w:hint="eastAsia" w:ascii="Times New Roman" w:hAnsi="Times New Roman" w:eastAsia="方正小标宋_GBK" w:cs="Times New Roman"/>
                <w:i w:val="0"/>
                <w:color w:val="000000"/>
                <w:kern w:val="0"/>
                <w:sz w:val="18"/>
                <w:szCs w:val="18"/>
                <w:highlight w:val="none"/>
                <w:u w:val="none"/>
                <w:lang w:val="en-US" w:eastAsia="zh-CN" w:bidi="ar"/>
              </w:rPr>
              <w:t>”</w:t>
            </w:r>
            <w:r>
              <w:rPr>
                <w:rFonts w:hint="default" w:ascii="Times New Roman" w:hAnsi="Times New Roman" w:eastAsia="方正小标宋_GBK" w:cs="Times New Roman"/>
                <w:i w:val="0"/>
                <w:color w:val="000000"/>
                <w:kern w:val="0"/>
                <w:sz w:val="18"/>
                <w:szCs w:val="18"/>
                <w:highlight w:val="none"/>
                <w:u w:val="none"/>
                <w:lang w:val="en-US" w:eastAsia="zh-CN" w:bidi="ar"/>
              </w:rPr>
              <w:t>，将存在重复侵权、拒不执行行政决定、连续提交非正常申请及违法违规从事专利代理者列入</w:t>
            </w:r>
            <w:r>
              <w:rPr>
                <w:rFonts w:hint="eastAsia" w:ascii="Times New Roman" w:hAnsi="Times New Roman" w:eastAsia="方正小标宋_GBK" w:cs="Times New Roman"/>
                <w:i w:val="0"/>
                <w:color w:val="000000"/>
                <w:kern w:val="0"/>
                <w:sz w:val="18"/>
                <w:szCs w:val="18"/>
                <w:highlight w:val="none"/>
                <w:u w:val="none"/>
                <w:lang w:val="en-US" w:eastAsia="zh-CN" w:bidi="ar"/>
              </w:rPr>
              <w:t>“</w:t>
            </w:r>
            <w:r>
              <w:rPr>
                <w:rFonts w:hint="default" w:ascii="Times New Roman" w:hAnsi="Times New Roman" w:eastAsia="方正小标宋_GBK" w:cs="Times New Roman"/>
                <w:i w:val="0"/>
                <w:color w:val="000000"/>
                <w:kern w:val="0"/>
                <w:sz w:val="18"/>
                <w:szCs w:val="18"/>
                <w:highlight w:val="none"/>
                <w:u w:val="none"/>
                <w:lang w:val="en-US" w:eastAsia="zh-CN" w:bidi="ar"/>
              </w:rPr>
              <w:t>黑名单</w:t>
            </w:r>
            <w:r>
              <w:rPr>
                <w:rFonts w:hint="eastAsia" w:ascii="Times New Roman" w:hAnsi="Times New Roman" w:eastAsia="方正小标宋_GBK" w:cs="Times New Roman"/>
                <w:i w:val="0"/>
                <w:color w:val="000000"/>
                <w:kern w:val="0"/>
                <w:sz w:val="18"/>
                <w:szCs w:val="18"/>
                <w:highlight w:val="none"/>
                <w:u w:val="none"/>
                <w:lang w:val="en-US" w:eastAsia="zh-CN" w:bidi="ar"/>
              </w:rPr>
              <w:t>”</w:t>
            </w:r>
            <w:r>
              <w:rPr>
                <w:rFonts w:hint="default" w:ascii="Times New Roman" w:hAnsi="Times New Roman" w:eastAsia="方正小标宋_GBK" w:cs="Times New Roman"/>
                <w:i w:val="0"/>
                <w:color w:val="000000"/>
                <w:kern w:val="0"/>
                <w:sz w:val="18"/>
                <w:szCs w:val="18"/>
                <w:highlight w:val="none"/>
                <w:u w:val="none"/>
                <w:lang w:val="en-US" w:eastAsia="zh-CN" w:bidi="ar"/>
              </w:rPr>
              <w:t>，在一定时间内禁止其通过快速审查通道申请专利。5.执法保护协作配合知识产权局加强与公安、工商、版权、海关等相关部门的执法协作，强化优势产业的知识产权保护信息沟通、风险研判和办案协作等机制，配合开展联合执法行动，有效打击知识产权侵权假冒行为。6.与司法衔接。积极推进建立专利侵权案件行政调处前置制度、诉中委托调解制度和专利纠纷行政调解协议司法确认制度，推进设立知识产权巡回审判法庭。7.促进社会调解与仲裁。有序推进与各类社会调解及仲裁机构的合作，形成多途径保护知识产权的合力，协同化解各类知识产权纠纷。</w:t>
            </w:r>
          </w:p>
        </w:tc>
        <w:tc>
          <w:tcPr>
            <w:tcW w:w="9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default" w:ascii="Times New Roman" w:hAnsi="Times New Roman" w:eastAsia="方正小标宋_GBK" w:cs="Times New Roman"/>
                <w:i w:val="0"/>
                <w:color w:val="000000"/>
                <w:sz w:val="18"/>
                <w:szCs w:val="18"/>
                <w:highlight w:val="none"/>
                <w:u w:val="none"/>
              </w:rPr>
            </w:pPr>
            <w:r>
              <w:rPr>
                <w:rFonts w:hint="default" w:ascii="Times New Roman" w:hAnsi="Times New Roman" w:eastAsia="方正小标宋_GBK" w:cs="Times New Roman"/>
                <w:i w:val="0"/>
                <w:color w:val="000000"/>
                <w:kern w:val="0"/>
                <w:sz w:val="18"/>
                <w:szCs w:val="18"/>
                <w:highlight w:val="none"/>
                <w:u w:val="none"/>
                <w:lang w:val="en-US" w:eastAsia="zh-CN" w:bidi="ar"/>
              </w:rPr>
              <w:t>不高于13万元/人/年（含五险一金）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61" w:hRule="atLeast"/>
        </w:trPr>
        <w:tc>
          <w:tcPr>
            <w:tcW w:w="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小标宋_GBK" w:cs="Times New Roman"/>
                <w:i w:val="0"/>
                <w:color w:val="000000"/>
                <w:sz w:val="18"/>
                <w:szCs w:val="18"/>
                <w:highlight w:val="none"/>
                <w:u w:val="none"/>
              </w:rPr>
            </w:pPr>
            <w:r>
              <w:rPr>
                <w:rFonts w:hint="default" w:ascii="Times New Roman" w:hAnsi="Times New Roman" w:eastAsia="方正小标宋_GBK" w:cs="Times New Roman"/>
                <w:i w:val="0"/>
                <w:color w:val="000000"/>
                <w:kern w:val="0"/>
                <w:sz w:val="18"/>
                <w:szCs w:val="18"/>
                <w:highlight w:val="none"/>
                <w:u w:val="none"/>
                <w:lang w:val="en-US" w:eastAsia="zh-CN" w:bidi="ar"/>
              </w:rPr>
              <w:t>生物医药专利保护辅助人员</w:t>
            </w:r>
          </w:p>
        </w:tc>
        <w:tc>
          <w:tcPr>
            <w:tcW w:w="5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小标宋_GBK" w:cs="Times New Roman"/>
                <w:i w:val="0"/>
                <w:color w:val="000000"/>
                <w:sz w:val="18"/>
                <w:szCs w:val="18"/>
                <w:highlight w:val="none"/>
                <w:u w:val="none"/>
                <w:lang w:val="en-US" w:eastAsia="zh-CN"/>
              </w:rPr>
            </w:pPr>
            <w:r>
              <w:rPr>
                <w:rFonts w:hint="eastAsia" w:ascii="Times New Roman" w:hAnsi="Times New Roman" w:eastAsia="方正小标宋_GBK" w:cs="Times New Roman"/>
                <w:i w:val="0"/>
                <w:color w:val="000000"/>
                <w:sz w:val="18"/>
                <w:szCs w:val="18"/>
                <w:highlight w:val="none"/>
                <w:u w:val="none"/>
                <w:lang w:val="en-US" w:eastAsia="zh-CN"/>
              </w:rPr>
              <w:t>1</w:t>
            </w:r>
          </w:p>
        </w:tc>
        <w:tc>
          <w:tcPr>
            <w:tcW w:w="1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default" w:ascii="Times New Roman" w:hAnsi="Times New Roman" w:eastAsia="方正小标宋_GBK" w:cs="Times New Roman"/>
                <w:i w:val="0"/>
                <w:color w:val="000000"/>
                <w:sz w:val="18"/>
                <w:szCs w:val="18"/>
                <w:highlight w:val="none"/>
                <w:u w:val="none"/>
              </w:rPr>
            </w:pPr>
            <w:r>
              <w:rPr>
                <w:rFonts w:hint="default" w:ascii="Times New Roman" w:hAnsi="Times New Roman" w:eastAsia="方正小标宋_GBK" w:cs="Times New Roman"/>
                <w:i w:val="0"/>
                <w:color w:val="000000"/>
                <w:kern w:val="0"/>
                <w:sz w:val="18"/>
                <w:szCs w:val="18"/>
                <w:highlight w:val="none"/>
                <w:u w:val="none"/>
                <w:lang w:val="en-US" w:eastAsia="zh-CN" w:bidi="ar"/>
              </w:rPr>
              <w:t>药学；生物学；化学；化学工程与技术。</w:t>
            </w:r>
          </w:p>
        </w:tc>
        <w:tc>
          <w:tcPr>
            <w:tcW w:w="12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小标宋_GBK" w:cs="Times New Roman"/>
                <w:i w:val="0"/>
                <w:color w:val="000000"/>
                <w:kern w:val="0"/>
                <w:sz w:val="18"/>
                <w:szCs w:val="18"/>
                <w:highlight w:val="none"/>
                <w:u w:val="none"/>
                <w:lang w:val="en-US" w:eastAsia="zh-CN" w:bidi="ar"/>
              </w:rPr>
            </w:pPr>
            <w:r>
              <w:rPr>
                <w:rFonts w:hint="default" w:ascii="Times New Roman" w:hAnsi="Times New Roman" w:eastAsia="方正小标宋_GBK" w:cs="Times New Roman"/>
                <w:i w:val="0"/>
                <w:color w:val="000000"/>
                <w:kern w:val="0"/>
                <w:sz w:val="18"/>
                <w:szCs w:val="18"/>
                <w:highlight w:val="none"/>
                <w:u w:val="none"/>
                <w:lang w:val="en-US" w:eastAsia="zh-CN" w:bidi="ar"/>
              </w:rPr>
              <w:t>普通高等教育本科及以上，取得学历相应学位。</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小标宋_GBK" w:cs="Times New Roman"/>
                <w:i w:val="0"/>
                <w:color w:val="000000"/>
                <w:kern w:val="0"/>
                <w:sz w:val="18"/>
                <w:szCs w:val="18"/>
                <w:highlight w:val="none"/>
                <w:u w:val="none"/>
                <w:lang w:val="en-US" w:eastAsia="zh-CN" w:bidi="ar"/>
              </w:rPr>
            </w:pPr>
            <w:r>
              <w:rPr>
                <w:rFonts w:hint="eastAsia" w:ascii="Times New Roman" w:hAnsi="Times New Roman" w:eastAsia="方正小标宋_GBK" w:cs="Times New Roman"/>
                <w:i w:val="0"/>
                <w:color w:val="000000"/>
                <w:kern w:val="0"/>
                <w:sz w:val="18"/>
                <w:szCs w:val="18"/>
                <w:highlight w:val="none"/>
                <w:u w:val="none"/>
                <w:lang w:val="en-US" w:eastAsia="zh-CN" w:bidi="ar"/>
              </w:rPr>
              <w:t>年龄35周岁（含）以下</w:t>
            </w:r>
          </w:p>
        </w:tc>
        <w:tc>
          <w:tcPr>
            <w:tcW w:w="64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default" w:ascii="Times New Roman" w:hAnsi="Times New Roman" w:eastAsia="方正小标宋_GBK" w:cs="Times New Roman"/>
                <w:i w:val="0"/>
                <w:color w:val="000000"/>
                <w:kern w:val="0"/>
                <w:sz w:val="18"/>
                <w:szCs w:val="18"/>
                <w:highlight w:val="none"/>
                <w:u w:val="none"/>
                <w:lang w:val="en-US" w:eastAsia="zh-CN" w:bidi="ar"/>
              </w:rPr>
            </w:pPr>
            <w:r>
              <w:rPr>
                <w:rFonts w:hint="default" w:ascii="Times New Roman" w:hAnsi="Times New Roman" w:eastAsia="方正小标宋_GBK" w:cs="Times New Roman"/>
                <w:i w:val="0"/>
                <w:color w:val="000000"/>
                <w:kern w:val="0"/>
                <w:sz w:val="18"/>
                <w:szCs w:val="18"/>
                <w:highlight w:val="none"/>
                <w:u w:val="none"/>
                <w:lang w:val="en-US" w:eastAsia="zh-CN" w:bidi="ar"/>
              </w:rPr>
              <w:t>生物医药产业快速审查与确权：1.对本地区生物医药产业拟请求加快的发明、实用新型、外观设计专利申请，开展预审服务。通过预审服务的专利请求，由国家知识产权局专利审查部门进行快速审查。2.对本地区生物医药产业拟请求的复审请求和无效宣告请求，开展预审服务，包括复审和无效请求的形式审查。3.对本地区生物医药产业拟请求的实用新型和外观设计专利评价报告请求，对申请材料的进行审核。</w:t>
            </w:r>
          </w:p>
        </w:tc>
        <w:tc>
          <w:tcPr>
            <w:tcW w:w="9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default" w:ascii="Times New Roman" w:hAnsi="Times New Roman" w:eastAsia="方正小标宋_GBK" w:cs="Times New Roman"/>
                <w:i w:val="0"/>
                <w:color w:val="000000"/>
                <w:sz w:val="18"/>
                <w:szCs w:val="18"/>
                <w:highlight w:val="none"/>
                <w:u w:val="none"/>
              </w:rPr>
            </w:pPr>
            <w:r>
              <w:rPr>
                <w:rFonts w:hint="default" w:ascii="Times New Roman" w:hAnsi="Times New Roman" w:eastAsia="方正小标宋_GBK" w:cs="Times New Roman"/>
                <w:i w:val="0"/>
                <w:color w:val="000000"/>
                <w:kern w:val="0"/>
                <w:sz w:val="18"/>
                <w:szCs w:val="18"/>
                <w:highlight w:val="none"/>
                <w:u w:val="none"/>
                <w:lang w:val="en-US" w:eastAsia="zh-CN" w:bidi="ar"/>
              </w:rPr>
              <w:t>不高于13万元/人/年（含五险一金）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6" w:hRule="atLeast"/>
        </w:trPr>
        <w:tc>
          <w:tcPr>
            <w:tcW w:w="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小标宋_GBK" w:cs="Times New Roman"/>
                <w:i w:val="0"/>
                <w:color w:val="000000"/>
                <w:sz w:val="18"/>
                <w:szCs w:val="18"/>
                <w:highlight w:val="none"/>
                <w:u w:val="none"/>
              </w:rPr>
            </w:pPr>
            <w:r>
              <w:rPr>
                <w:rFonts w:hint="default" w:ascii="Times New Roman" w:hAnsi="Times New Roman" w:eastAsia="方正小标宋_GBK" w:cs="Times New Roman"/>
                <w:i w:val="0"/>
                <w:color w:val="000000"/>
                <w:kern w:val="0"/>
                <w:sz w:val="18"/>
                <w:szCs w:val="18"/>
                <w:highlight w:val="none"/>
                <w:u w:val="none"/>
                <w:lang w:val="en-US" w:eastAsia="zh-CN" w:bidi="ar"/>
              </w:rPr>
              <w:t>新材料专利保护辅助人员</w:t>
            </w:r>
          </w:p>
        </w:tc>
        <w:tc>
          <w:tcPr>
            <w:tcW w:w="5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小标宋_GBK" w:cs="Times New Roman"/>
                <w:i w:val="0"/>
                <w:color w:val="000000"/>
                <w:sz w:val="18"/>
                <w:szCs w:val="18"/>
                <w:highlight w:val="none"/>
                <w:u w:val="none"/>
                <w:lang w:val="en-US" w:eastAsia="zh-CN"/>
              </w:rPr>
            </w:pPr>
            <w:r>
              <w:rPr>
                <w:rFonts w:hint="eastAsia" w:ascii="Times New Roman" w:hAnsi="Times New Roman" w:eastAsia="方正小标宋_GBK" w:cs="Times New Roman"/>
                <w:i w:val="0"/>
                <w:color w:val="000000"/>
                <w:sz w:val="18"/>
                <w:szCs w:val="18"/>
                <w:highlight w:val="none"/>
                <w:u w:val="none"/>
                <w:lang w:val="en-US" w:eastAsia="zh-CN"/>
              </w:rPr>
              <w:t>1</w:t>
            </w:r>
          </w:p>
        </w:tc>
        <w:tc>
          <w:tcPr>
            <w:tcW w:w="1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default" w:ascii="Times New Roman" w:hAnsi="Times New Roman" w:eastAsia="方正小标宋_GBK" w:cs="Times New Roman"/>
                <w:i w:val="0"/>
                <w:color w:val="000000"/>
                <w:sz w:val="18"/>
                <w:szCs w:val="18"/>
                <w:highlight w:val="none"/>
                <w:u w:val="none"/>
              </w:rPr>
            </w:pPr>
            <w:r>
              <w:rPr>
                <w:rFonts w:hint="default" w:ascii="Times New Roman" w:hAnsi="Times New Roman" w:eastAsia="方正小标宋_GBK" w:cs="Times New Roman"/>
                <w:i w:val="0"/>
                <w:color w:val="000000"/>
                <w:kern w:val="0"/>
                <w:sz w:val="18"/>
                <w:szCs w:val="18"/>
                <w:highlight w:val="none"/>
                <w:u w:val="none"/>
                <w:lang w:val="en-US" w:eastAsia="zh-CN" w:bidi="ar"/>
              </w:rPr>
              <w:t>材料科学与工程；冶金工程；化学；化学工程与技术。</w:t>
            </w:r>
          </w:p>
        </w:tc>
        <w:tc>
          <w:tcPr>
            <w:tcW w:w="12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小标宋_GBK" w:cs="Times New Roman"/>
                <w:i w:val="0"/>
                <w:color w:val="000000"/>
                <w:sz w:val="18"/>
                <w:szCs w:val="18"/>
                <w:highlight w:val="none"/>
                <w:u w:val="none"/>
              </w:rPr>
            </w:pPr>
            <w:r>
              <w:rPr>
                <w:rFonts w:hint="default" w:ascii="Times New Roman" w:hAnsi="Times New Roman" w:eastAsia="方正小标宋_GBK" w:cs="Times New Roman"/>
                <w:i w:val="0"/>
                <w:color w:val="000000"/>
                <w:kern w:val="0"/>
                <w:sz w:val="18"/>
                <w:szCs w:val="18"/>
                <w:highlight w:val="none"/>
                <w:u w:val="none"/>
                <w:lang w:val="en-US" w:eastAsia="zh-CN" w:bidi="ar"/>
              </w:rPr>
              <w:t>普通高等教育本科及以上，取得学历相应学位。</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小标宋_GBK" w:cs="Times New Roman"/>
                <w:i w:val="0"/>
                <w:color w:val="000000"/>
                <w:kern w:val="0"/>
                <w:sz w:val="18"/>
                <w:szCs w:val="18"/>
                <w:highlight w:val="none"/>
                <w:u w:val="none"/>
                <w:lang w:val="en-US" w:eastAsia="zh-CN" w:bidi="ar"/>
              </w:rPr>
            </w:pPr>
            <w:r>
              <w:rPr>
                <w:rFonts w:hint="eastAsia" w:ascii="Times New Roman" w:hAnsi="Times New Roman" w:eastAsia="方正小标宋_GBK" w:cs="Times New Roman"/>
                <w:i w:val="0"/>
                <w:color w:val="000000"/>
                <w:kern w:val="0"/>
                <w:sz w:val="18"/>
                <w:szCs w:val="18"/>
                <w:highlight w:val="none"/>
                <w:u w:val="none"/>
                <w:lang w:val="en-US" w:eastAsia="zh-CN" w:bidi="ar"/>
              </w:rPr>
              <w:t>年龄35周岁（含）以下</w:t>
            </w:r>
          </w:p>
        </w:tc>
        <w:tc>
          <w:tcPr>
            <w:tcW w:w="64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default" w:ascii="Times New Roman" w:hAnsi="Times New Roman" w:eastAsia="方正小标宋_GBK" w:cs="Times New Roman"/>
                <w:i w:val="0"/>
                <w:color w:val="000000"/>
                <w:kern w:val="0"/>
                <w:sz w:val="18"/>
                <w:szCs w:val="18"/>
                <w:highlight w:val="none"/>
                <w:u w:val="none"/>
                <w:lang w:val="en-US" w:eastAsia="zh-CN" w:bidi="ar"/>
              </w:rPr>
            </w:pPr>
            <w:r>
              <w:rPr>
                <w:rFonts w:hint="default" w:ascii="Times New Roman" w:hAnsi="Times New Roman" w:eastAsia="方正小标宋_GBK" w:cs="Times New Roman"/>
                <w:i w:val="0"/>
                <w:color w:val="000000"/>
                <w:kern w:val="0"/>
                <w:sz w:val="18"/>
                <w:szCs w:val="18"/>
                <w:highlight w:val="none"/>
                <w:u w:val="none"/>
                <w:lang w:val="en-US" w:eastAsia="zh-CN" w:bidi="ar"/>
              </w:rPr>
              <w:t>新材料产业快速审查与确权：1.对本地区新材料产业拟请求加快的发明、实用新型、外观设计专利申请，开展预审服务。通过预审服务的专利请求，由国家知识产权局专利审查部门进行快速审查。2.对本地区新材料产业拟请求的复审请求和无效宣告请求，开展预审服务，包括复审和无效请求的形式审查。3.对本地区新材料产业拟请求的实用新型和外观设计专利评价报告请求，对申请材料的进行审核。</w:t>
            </w:r>
          </w:p>
        </w:tc>
        <w:tc>
          <w:tcPr>
            <w:tcW w:w="9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default" w:ascii="Times New Roman" w:hAnsi="Times New Roman" w:eastAsia="方正小标宋_GBK" w:cs="Times New Roman"/>
                <w:i w:val="0"/>
                <w:color w:val="000000"/>
                <w:sz w:val="18"/>
                <w:szCs w:val="18"/>
                <w:highlight w:val="none"/>
                <w:u w:val="none"/>
              </w:rPr>
            </w:pPr>
            <w:r>
              <w:rPr>
                <w:rFonts w:hint="default" w:ascii="Times New Roman" w:hAnsi="Times New Roman" w:eastAsia="方正小标宋_GBK" w:cs="Times New Roman"/>
                <w:i w:val="0"/>
                <w:color w:val="000000"/>
                <w:kern w:val="0"/>
                <w:sz w:val="18"/>
                <w:szCs w:val="18"/>
                <w:highlight w:val="none"/>
                <w:u w:val="none"/>
                <w:lang w:val="en-US" w:eastAsia="zh-CN" w:bidi="ar"/>
              </w:rPr>
              <w:t>不高于13万元/人/年（含五险一金）</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DE7E66"/>
    <w:rsid w:val="23DE7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customStyle="1" w:styleId="5">
    <w:name w:val="列出段落2"/>
    <w:basedOn w:val="1"/>
    <w:qFormat/>
    <w:uiPriority w:val="0"/>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2023-10-23T02:42:00Z</dcterms:created>
  <dc:creator>Administrator</dc:creator>
  <cp:lastModifiedBy>Administrator</cp:lastModifiedBy>
  <dcterms:modified xsi:type="dcterms:W3CDTF">2023-10-23T02:43:19Z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