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0D0" w:rsidRDefault="005010D0" w:rsidP="005010D0">
      <w:pPr>
        <w:spacing w:beforeLines="50" w:before="156"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:rsidR="005010D0" w:rsidRDefault="005010D0" w:rsidP="005010D0">
      <w:pPr>
        <w:widowControl/>
        <w:spacing w:beforeLines="100" w:before="312" w:line="560" w:lineRule="exact"/>
        <w:jc w:val="center"/>
        <w:rPr>
          <w:rFonts w:ascii="方正小标宋简体" w:eastAsia="方正小标宋简体" w:hAnsi="仿宋" w:hint="eastAsia"/>
          <w:spacing w:val="-10"/>
          <w:sz w:val="36"/>
          <w:szCs w:val="36"/>
        </w:rPr>
      </w:pPr>
      <w:bookmarkStart w:id="0" w:name="_GoBack"/>
      <w:r>
        <w:rPr>
          <w:rFonts w:ascii="方正小标宋简体" w:eastAsia="方正小标宋简体" w:hAnsi="仿宋" w:cs="方正小标宋简体" w:hint="eastAsia"/>
          <w:sz w:val="36"/>
          <w:szCs w:val="36"/>
        </w:rPr>
        <w:t>2023</w:t>
      </w:r>
      <w:r>
        <w:rPr>
          <w:rFonts w:ascii="微软雅黑" w:eastAsia="微软雅黑" w:hAnsi="微软雅黑" w:cs="微软雅黑" w:hint="eastAsia"/>
          <w:sz w:val="36"/>
          <w:szCs w:val="36"/>
        </w:rPr>
        <w:t>年市国有资本投资运营公司公开招聘工作人员需求</w:t>
      </w:r>
      <w:r>
        <w:rPr>
          <w:rFonts w:ascii="微软雅黑" w:eastAsia="微软雅黑" w:hAnsi="微软雅黑" w:cs="微软雅黑" w:hint="eastAsia"/>
          <w:spacing w:val="-10"/>
          <w:sz w:val="36"/>
          <w:szCs w:val="36"/>
        </w:rPr>
        <w:t>计划表</w:t>
      </w:r>
    </w:p>
    <w:tbl>
      <w:tblPr>
        <w:tblpPr w:leftFromText="180" w:rightFromText="180" w:vertAnchor="text" w:horzAnchor="page" w:tblpX="1337" w:tblpY="304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731"/>
        <w:gridCol w:w="1019"/>
        <w:gridCol w:w="6300"/>
        <w:gridCol w:w="911"/>
      </w:tblGrid>
      <w:tr w:rsidR="005010D0" w:rsidTr="005010D0">
        <w:trPr>
          <w:trHeight w:val="144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5010D0" w:rsidRDefault="005010D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D0" w:rsidRDefault="005010D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  <w:t>职位名称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D0" w:rsidRDefault="005010D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  <w:t>职位要求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D0" w:rsidRDefault="005010D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  <w:t>招聘人数</w:t>
            </w:r>
          </w:p>
        </w:tc>
      </w:tr>
      <w:tr w:rsidR="005010D0" w:rsidTr="005010D0">
        <w:trPr>
          <w:trHeight w:val="77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D0" w:rsidRDefault="005010D0">
            <w:pPr>
              <w:widowControl/>
              <w:spacing w:line="600" w:lineRule="exact"/>
              <w:ind w:firstLineChars="100" w:firstLine="300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D0" w:rsidRDefault="005010D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投融资发展部业务岗</w:t>
            </w:r>
          </w:p>
        </w:tc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10D0" w:rsidRDefault="005010D0">
            <w:pPr>
              <w:spacing w:line="48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1、年龄30岁以内(1993年1月1日及以后出生）；全日制本科及以上学历；经济学类专业、工商管理类专业；1年以上工作经验。</w:t>
            </w:r>
          </w:p>
          <w:p w:rsidR="005010D0" w:rsidRDefault="005010D0">
            <w:pPr>
              <w:spacing w:line="48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2、具有中级会计师、中级经济师职称者；取得基金从业资格者、税务师执业资格者、注册会计师执业资格者；具有银行、保险、证券行业等相关金融行业3年以上工作经验的人员。符合上述条件之一的人员，专业不限，年龄放宽到35岁以内（1988年1月1日及以后出生）。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D0" w:rsidRDefault="005010D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2</w:t>
            </w:r>
          </w:p>
        </w:tc>
      </w:tr>
    </w:tbl>
    <w:p w:rsidR="005010D0" w:rsidRDefault="005010D0" w:rsidP="005010D0">
      <w:pPr>
        <w:ind w:right="640"/>
        <w:rPr>
          <w:rFonts w:ascii="仿宋" w:eastAsia="仿宋" w:hAnsi="仿宋" w:hint="eastAsia"/>
          <w:sz w:val="32"/>
          <w:szCs w:val="32"/>
        </w:rPr>
      </w:pPr>
    </w:p>
    <w:p w:rsidR="00A474A7" w:rsidRDefault="00A474A7"/>
    <w:sectPr w:rsidR="00A47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Malgun Gothic Semilight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0D0"/>
    <w:rsid w:val="005010D0"/>
    <w:rsid w:val="00A4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86C80-0EB5-4F2F-A4B9-A0AA7189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0D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2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2023-08-25T03:06:00Z</dcterms:created>
  <dcterms:modified xsi:type="dcterms:W3CDTF">2023-08-25T03:07:00Z</dcterms:modified>
</cp:coreProperties>
</file>