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center"/>
      </w:pPr>
      <w:r>
        <w:rPr>
          <w:rFonts w:hint="eastAsia" w:ascii="宋体" w:hAnsi="宋体" w:eastAsia="宋体" w:cs="宋体"/>
          <w:kern w:val="2"/>
          <w:sz w:val="24"/>
          <w:szCs w:val="24"/>
          <w:shd w:val="clear" w:fill="FFFFFF"/>
          <w:lang w:val="en-US" w:eastAsia="zh-CN" w:bidi="ar"/>
        </w:rPr>
        <w:t>人社部规〔2019〕1号</w:t>
      </w:r>
    </w:p>
    <w:p>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both"/>
      </w:pPr>
      <w:r>
        <w:rPr>
          <w:rFonts w:hint="eastAsia" w:ascii="宋体" w:hAnsi="宋体" w:eastAsia="宋体" w:cs="宋体"/>
          <w:kern w:val="2"/>
          <w:sz w:val="24"/>
          <w:szCs w:val="24"/>
          <w:shd w:val="clear" w:fill="FFFFFF"/>
          <w:lang w:val="en-US" w:eastAsia="zh-CN" w:bidi="ar"/>
        </w:rPr>
        <w:t xml:space="preserve"> </w:t>
      </w:r>
    </w:p>
    <w:p>
      <w:pPr>
        <w:keepNext w:val="0"/>
        <w:keepLines w:val="0"/>
        <w:widowControl w:val="0"/>
        <w:suppressLineNumbers w:val="0"/>
        <w:autoSpaceDE w:val="0"/>
        <w:autoSpaceDN/>
        <w:spacing w:before="0" w:beforeAutospacing="1" w:after="0" w:afterAutospacing="1" w:line="360" w:lineRule="auto"/>
        <w:ind w:left="0" w:right="0" w:rightChars="0"/>
        <w:jc w:val="both"/>
      </w:pPr>
      <w:r>
        <w:rPr>
          <w:rFonts w:hint="eastAsia" w:ascii="宋体" w:hAnsi="宋体" w:eastAsia="宋体" w:cs="宋体"/>
          <w:kern w:val="2"/>
          <w:sz w:val="24"/>
          <w:szCs w:val="24"/>
          <w:shd w:val="clear" w:fill="FFFFFF"/>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shd w:val="clear" w:fill="FFFFFF"/>
          <w:lang w:val="en-US" w:eastAsia="zh-CN" w:bidi="ar"/>
        </w:rPr>
        <w:t>中共中央组织部 人力资源社会保障部</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shd w:val="clear" w:fill="FFFFFF"/>
          <w:lang w:val="en-US" w:eastAsia="zh-CN" w:bidi="ar"/>
        </w:rPr>
        <w:t>2019年9月18日</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 xml:space="preserve"> </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事业单位人事管理回避规定</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 xml:space="preserve"> </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第一章  总则</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第一条 为规范事业单位人事管理工作，维护人事管理公平公正，根据《事业单位人事管理条例》及有关法律法规，制定本规定。</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第三条 本规定所称事业单位人事管理回避包括岗位回避和履职回避。</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第四条 事业单位人事管理工作所有参与方以及可能影响公正的特定关系人需要回避的，适用本规定。</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事业单位领导人员回避按照本规定执行，法律法规另有规定的，从其规定。</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第五条 事业单位、主管部门、事业单位人事综合管理部门按照干部人事管理权限，负责事业单位人事管理回避的执行和监督。</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第二章  岗位回避</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（一）夫妻关系；</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（二）直系血亲关系，包括祖父母、外祖父母、父母、子女、孙子女、外孙子女；</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（三）三代以内旁系血亲关系，包括叔伯姑舅姨、兄弟姐妹、堂兄弟姐妹、表兄弟姐妹、侄子女、甥子女；</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（四）近姻亲关系，包括配偶的父母、配偶的兄弟姐妹及其配偶、子女的配偶及子女配偶的父母、三代以内旁系血亲的配偶；</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（五）其他亲属关系，包括养父母子女、形成抚养关系的继父母子女及由此形成的直系血亲、三代以内旁系血亲和近姻亲关系。</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前款所称同一事业单位，是指依法登记的同一事业单位法人。</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第七条 本规定所称直接上下级领导关系包括：</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（一）领导班子正职与副职；</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（二）同一内设机构正职与副职；</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（三）上级正职、副职与下级正职；</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（四）单位无内设机构的，其正职、副职与其他管理人员以及从事审计、财务工作的专业技术人员；</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（五）内设机构无下一级单位的，其正职、副职与其他管理人员以及从事审计、财务工作的专业技术人员。</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第八条 事业单位工作人员岗位回避按照以下程序办理：</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（一）本人提出回避申请，或者有关单位、人员提出回避要求。</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（二）所在单位或者主管部门按照干部人事管理权限在1个月内作出回避决定。作出回避决定前，应当听取需要回避人员及相关人员的意见。</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（三）回避决定作出后，及时通知申请人，需要回避的，应当自回避决定作出之日起1个月内调整至相应岗位，并变更或者重新订立聘用合同。</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第九条 岗位等级不同的一般由岗位等级较低的一方回避；岗位等级相同或者岗位类别不同的，根据工作需要和实际情况决定其中一方回避。</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第十条 因地域、专业、工作性质特殊等因素，需要灵活执行岗位回避政策的，可由省级以上事业单位人事综合管理部门、中央和国家机关各部门结合实际作出具体规定。</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第三章  履职回避</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第十一条 事业单位工作人员应当回避的履职活动包括：</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（一）岗位设置、公开招聘、聘用解聘（任免）、考核考察、奖励、处分、交流、人事争议处理、出国（境）审批；</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（二）人事考试、职称评审、人才评价；</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（三）招生考试、项目评审、成果评选、资金审批与监管；</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（四）其他应当回避的履职活动。</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第十二条 事业单位工作人员履行第十一条所列职责时，有下列情形之一的，应当回避，不得参加相关调查、考察、讨论、评议、投票、评分、审核、决定等活动，也不得以任何方式施加影响：</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（一）涉及本人利害关系的；</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（二）涉及与本人有本规定第六条所列亲属关系人员的利害关系的；</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（三）其他可能影响公正履行职责的。</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第十三条 事业单位工作人员履职回避按照以下程序办理：</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（一）本人或利害关系人提出回避申请，或者有关单位提出回避要求。</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（三）根据回避决定需要回避的，应当自回避决定作出之日起退出相关工作。</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回避决定应当及时作出。回避决定作出前，本人可视情况确定是否先行退出相关履职活动。</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第四章  管理与监督</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第十五条 按照干部人事管理权限应当由事业单位作出或者授权作出回避决定的，特殊情况下，主管部门或者事业单位人事综合管理部门可以直接作出。</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第十六条 事业单位工作人员必须服从回避决定，无正当理由拒不服从的，视情节轻重依法依规给予组织处理或处分。所在单位、主管部门负责督促回避决定落实到位。</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事业单位工作人员应当主动报告应回避的情形。有需要回避的情形不及时报告或者有意隐瞒的，予以批评教育；造成不良后果的，依法依规给予组织处理或处分。</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第十八条 由于相关人员隐瞒应当回避情形，造成工作结果不公正的，按照国家有关规定取消或者撤销获取的资质、资格、荣誉、奖金、学籍、岗位、项目、资金等。</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第二十条 对个人、组织据实反映本规定所列各类需要回避情形的，有关单位、部门应当按照干部人事管理权限及时处理。</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shd w:val="clear" w:fill="FFFFFF"/>
          <w:lang w:val="en-US" w:eastAsia="zh-CN" w:bidi="ar"/>
        </w:rPr>
        <w:t>第五章  附则</w:t>
      </w:r>
    </w:p>
    <w:p>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微软雅黑" w:hAnsi="微软雅黑" w:eastAsia="微软雅黑" w:cs="微软雅黑"/>
          <w:kern w:val="0"/>
          <w:sz w:val="24"/>
          <w:szCs w:val="24"/>
          <w:shd w:val="clear" w:fill="FFFFFF"/>
          <w:lang w:val="en-US" w:eastAsia="zh-CN" w:bidi="ar"/>
        </w:rPr>
        <w:t> </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第二十一条 主管部门对所属事业单位实施人事管理工作需要回避的，参照本规定执行，法律法规另有规定的从其规定。</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第二十二条 机关工勤人员的回避，参照本规定执行。</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第二十三条 本规定由中共中央组织部、人力资源社会保障部负责解释。</w:t>
      </w:r>
    </w:p>
    <w:p>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shd w:val="clear" w:fill="FFFFFF"/>
          <w:lang w:val="en-US" w:eastAsia="zh-CN" w:bidi="ar"/>
        </w:rPr>
        <w:t>第二十四条 本规定自2020年1月1日起施行。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NmY0MmNiMzcwMDhjOTI4YTc3NjJhYzNmMDI1YmYifQ=="/>
  </w:docVars>
  <w:rsids>
    <w:rsidRoot w:val="44E65FBA"/>
    <w:rsid w:val="44E6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6">
    <w:name w:val="on1"/>
    <w:basedOn w:val="3"/>
    <w:uiPriority w:val="0"/>
    <w:rPr>
      <w:color w:val="C40001"/>
    </w:rPr>
  </w:style>
  <w:style w:type="character" w:customStyle="1" w:styleId="7">
    <w:name w:val="first-child"/>
    <w:basedOn w:val="3"/>
    <w:uiPriority w:val="0"/>
  </w:style>
  <w:style w:type="character" w:customStyle="1" w:styleId="8">
    <w:name w:val="first-child1"/>
    <w:basedOn w:val="3"/>
    <w:uiPriority w:val="0"/>
  </w:style>
  <w:style w:type="character" w:customStyle="1" w:styleId="9">
    <w:name w:val="bar"/>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2024-02-20T04:56:00Z</dcterms:created>
  <dc:creator>Administrator</dc:creator>
  <cp:lastModifiedBy>Administrator</cp:lastModifiedBy>
  <dcterms:modified xsi:type="dcterms:W3CDTF">2024-02-20T04:57:14Z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49739A6B773A4EC48DFA2EFD6556B647_11</vt:lpwstr>
  </property>
</Properties>
</file>