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56"/>
        <w:jc w:val="both"/>
        <w:rPr>
          <w:rFonts w:hint="eastAsia" w:ascii="仿宋_GB2312" w:hAnsi="宋体" w:eastAsia="仿宋_GB2312"/>
          <w:color w:val="000000"/>
          <w:spacing w:val="4"/>
          <w:kern w:val="0"/>
          <w:sz w:val="32"/>
          <w:szCs w:val="32"/>
          <w:shd w:val="clear" w:color="FFFFFF" w:fill="D9D9D9"/>
          <w:lang w:eastAsia="zh-CN"/>
        </w:rPr>
      </w:pPr>
      <w:bookmarkStart w:id="0" w:name="_GoBack"/>
      <w:r>
        <w:rPr>
          <w:rFonts w:hint="eastAsia" w:ascii="仿宋_GB2312" w:hAnsi="宋体" w:eastAsia="仿宋_GB2312"/>
          <w:color w:val="000000"/>
          <w:spacing w:val="4"/>
          <w:kern w:val="0"/>
          <w:sz w:val="32"/>
          <w:szCs w:val="32"/>
          <w:shd w:val="clear" w:color="auto" w:fill="auto"/>
          <w:lang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right="658" w:firstLine="73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4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kern w:val="0"/>
          <w:sz w:val="36"/>
          <w:szCs w:val="36"/>
          <w:shd w:val="clear" w:color="auto" w:fill="auto"/>
        </w:rPr>
        <w:t>佛山市中级人民法院2024年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right="658" w:firstLine="73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4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"/>
          <w:kern w:val="0"/>
          <w:sz w:val="36"/>
          <w:szCs w:val="36"/>
          <w:shd w:val="clear" w:color="auto" w:fill="auto"/>
        </w:rPr>
        <w:t>公开招聘劳动合同制司法辅助人员岗位表</w:t>
      </w:r>
    </w:p>
    <w:tbl>
      <w:tblPr>
        <w:tblStyle w:val="3"/>
        <w:tblW w:w="8859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53"/>
        <w:gridCol w:w="1218"/>
        <w:gridCol w:w="1288"/>
        <w:gridCol w:w="1164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佛山市中级人民法院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书记员A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审判辅助工作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符合以下条件之一：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（1）具有普通高等院校法学专业本科以上学历（非在职）、法学学士学位；（2）取得普通高等院校非法学本科学历（非在职）、学士学位，并获得第二学位为法学学士学位。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佛山市中级人民法院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书记员B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审判辅助工作，重点从事司法统计工作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取得普通高等院校统计学本科学历（非在职）、学士学位。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2024-04-23T07:11:31Z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