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微软雅黑" w:hAnsi="微软雅黑" w:eastAsia="微软雅黑" w:cs="微软雅黑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32"/>
          <w:szCs w:val="32"/>
          <w:highlight w:val="none"/>
        </w:rPr>
        <w:t>附件1：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32"/>
          <w:szCs w:val="32"/>
          <w:highlight w:val="none"/>
          <w:lang w:eastAsia="zh-CN"/>
        </w:rPr>
        <w:t>井冈山市人民医院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32"/>
          <w:szCs w:val="32"/>
          <w:highlight w:val="none"/>
        </w:rPr>
        <w:t>招聘岗位及任职要求</w:t>
      </w:r>
    </w:p>
    <w:tbl>
      <w:tblPr>
        <w:tblStyle w:val="3"/>
        <w:tblpPr w:leftFromText="180" w:rightFromText="180" w:vertAnchor="text" w:horzAnchor="page" w:tblpXSpec="center" w:tblpY="450"/>
        <w:tblOverlap w:val="never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5634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2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岗位序号及名称</w:t>
            </w:r>
          </w:p>
        </w:tc>
        <w:tc>
          <w:tcPr>
            <w:tcW w:w="56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1405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14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  <w:jc w:val="center"/>
        </w:trPr>
        <w:tc>
          <w:tcPr>
            <w:tcW w:w="22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01-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收费员</w:t>
            </w:r>
          </w:p>
        </w:tc>
        <w:tc>
          <w:tcPr>
            <w:tcW w:w="56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45周岁及以下。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能力要求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有主动服务意识，热爱服务工作，五官端正，有良好的沟通能力，熟悉电脑操作，身体健康，能适应轮班和夜班工作。有医院收费员岗位工作经验者优先。</w:t>
            </w:r>
          </w:p>
        </w:tc>
        <w:tc>
          <w:tcPr>
            <w:tcW w:w="14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22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02-超声科     打字员</w:t>
            </w:r>
          </w:p>
        </w:tc>
        <w:tc>
          <w:tcPr>
            <w:tcW w:w="56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周岁及以下。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能力要求：熟练电脑打字操作，医学影像技术专业，具有医学超声影像进修学习基础优先。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  <w:jc w:val="center"/>
        </w:trPr>
        <w:tc>
          <w:tcPr>
            <w:tcW w:w="22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03-水电工</w:t>
            </w:r>
          </w:p>
        </w:tc>
        <w:tc>
          <w:tcPr>
            <w:tcW w:w="56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45周岁及以下。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能力要求：持有电工证，若同时又有消防操作员证（监控方向）优先。</w:t>
            </w:r>
          </w:p>
        </w:tc>
        <w:tc>
          <w:tcPr>
            <w:tcW w:w="14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22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04-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药剂科</w:t>
            </w:r>
          </w:p>
        </w:tc>
        <w:tc>
          <w:tcPr>
            <w:tcW w:w="56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周岁及以下。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能力要求：大专及以上学历，药学专业，取得初级药士及以上资格。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280" w:firstLineChars="100"/>
        <w:rPr>
          <w:rFonts w:hint="eastAsia" w:eastAsia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注：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年龄及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资历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计算截止时间为202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04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30日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eastAsia="宋体"/>
          <w:b w:val="0"/>
          <w:bCs w:val="0"/>
          <w:sz w:val="32"/>
          <w:szCs w:val="32"/>
          <w:highlight w:val="none"/>
          <w:lang w:val="en-US" w:eastAsia="zh-CN"/>
        </w:rPr>
      </w:pPr>
    </w:p>
    <w:p/>
    <w:sectPr>
      <w:footerReference r:id="rId4" w:type="default"/>
      <w:footerReference r:id="rId5" w:type="even"/>
      <w:pgSz w:w="11906" w:h="16838"/>
      <w:pgMar w:top="1459" w:right="1135" w:bottom="1079" w:left="1091" w:header="709" w:footer="4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1A070D32"/>
    <w:rsid w:val="1A07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tabs>
        <w:tab w:val="center" w:pos="4153"/>
        <w:tab w:val="right" w:pos="8306"/>
      </w:tabs>
      <w:adjustRightInd w:val="0"/>
      <w:snapToGrid w:val="0"/>
      <w:spacing w:after="200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2024-04-15T08:20:00Z</dcterms:created>
  <dc:creator>花开丶陌然</dc:creator>
  <cp:lastModifiedBy>花开丶陌然</cp:lastModifiedBy>
  <dcterms:modified xsi:type="dcterms:W3CDTF">2024-04-15T08:20:49Z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85B81B057E804588BFE72353AAFA98FB_11</vt:lpwstr>
  </property>
</Properties>
</file>