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附件一：</w:t>
      </w:r>
    </w:p>
    <w:p>
      <w:pPr>
        <w:jc w:val="center"/>
        <w:rPr>
          <w:rFonts w:hint="eastAsia" w:ascii="方正小标宋简体" w:hAnsi="方正小标宋简体" w:eastAsia="方正小标宋简体" w:cs="方正小标宋简体"/>
          <w:sz w:val="40"/>
          <w:szCs w:val="48"/>
        </w:rPr>
      </w:pPr>
    </w:p>
    <w:p>
      <w:pPr>
        <w:jc w:val="center"/>
        <w:rPr>
          <w:rFonts w:hint="eastAsia" w:ascii="仿宋_GB2312" w:hAnsi="仿宋_GB2312" w:eastAsia="仿宋_GB2312" w:cs="仿宋_GB2312"/>
          <w:sz w:val="21"/>
          <w:szCs w:val="24"/>
        </w:rPr>
      </w:pPr>
      <w:bookmarkStart w:id="0" w:name="_GoBack"/>
      <w:r>
        <w:rPr>
          <w:rFonts w:hint="eastAsia" w:ascii="方正小标宋简体" w:hAnsi="方正小标宋简体" w:eastAsia="方正小标宋简体" w:cs="方正小标宋简体"/>
          <w:sz w:val="40"/>
          <w:szCs w:val="48"/>
        </w:rPr>
        <w:t>嘉善县善和养老服务管理有限公司</w:t>
      </w:r>
      <w:r>
        <w:rPr>
          <w:rFonts w:hint="eastAsia" w:ascii="方正小标宋简体" w:hAnsi="方正小标宋简体" w:eastAsia="方正小标宋简体" w:cs="方正小标宋简体"/>
          <w:sz w:val="40"/>
          <w:szCs w:val="48"/>
          <w:highlight w:val="none"/>
          <w:lang w:val="en-US" w:eastAsia="zh-CN"/>
        </w:rPr>
        <w:t>2023年度</w:t>
      </w:r>
      <w:r>
        <w:rPr>
          <w:rFonts w:hint="eastAsia" w:ascii="方正小标宋简体" w:hAnsi="方正小标宋简体" w:eastAsia="方正小标宋简体" w:cs="方正小标宋简体"/>
          <w:sz w:val="40"/>
          <w:szCs w:val="48"/>
          <w:lang w:val="en-US" w:eastAsia="zh-CN"/>
        </w:rPr>
        <w:t>工作人员</w:t>
      </w:r>
      <w:r>
        <w:rPr>
          <w:rFonts w:hint="eastAsia" w:ascii="方正小标宋简体" w:hAnsi="方正小标宋简体" w:eastAsia="方正小标宋简体" w:cs="方正小标宋简体"/>
          <w:sz w:val="40"/>
          <w:szCs w:val="48"/>
        </w:rPr>
        <w:t>招聘计划</w:t>
      </w:r>
    </w:p>
    <w:bookmarkEnd w:id="0"/>
    <w:tbl>
      <w:tblPr>
        <w:tblStyle w:val="3"/>
        <w:tblpPr w:leftFromText="180" w:rightFromText="180" w:vertAnchor="text" w:horzAnchor="page" w:tblpX="688" w:tblpY="25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803"/>
        <w:gridCol w:w="2171"/>
        <w:gridCol w:w="1437"/>
        <w:gridCol w:w="1471"/>
        <w:gridCol w:w="2696"/>
        <w:gridCol w:w="418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noWrap w:val="0"/>
            <w:vAlign w:val="center"/>
          </w:tcPr>
          <w:p>
            <w:pPr>
              <w:widowControl/>
              <w:adjustRightInd/>
              <w:snapToGrid/>
              <w:spacing w:after="0" w:line="400" w:lineRule="exact"/>
              <w:jc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岗位名称</w:t>
            </w:r>
          </w:p>
        </w:tc>
        <w:tc>
          <w:tcPr>
            <w:tcW w:w="257" w:type="pct"/>
            <w:noWrap w:val="0"/>
            <w:vAlign w:val="center"/>
          </w:tcPr>
          <w:p>
            <w:pPr>
              <w:widowControl/>
              <w:adjustRightInd/>
              <w:snapToGrid/>
              <w:spacing w:after="0" w:line="400" w:lineRule="exact"/>
              <w:jc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招聘人数</w:t>
            </w:r>
          </w:p>
        </w:tc>
        <w:tc>
          <w:tcPr>
            <w:tcW w:w="695" w:type="pct"/>
            <w:noWrap w:val="0"/>
            <w:vAlign w:val="center"/>
          </w:tcPr>
          <w:p>
            <w:pPr>
              <w:widowControl/>
              <w:adjustRightInd/>
              <w:snapToGrid/>
              <w:spacing w:after="0" w:line="400" w:lineRule="exact"/>
              <w:jc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年龄</w:t>
            </w:r>
          </w:p>
        </w:tc>
        <w:tc>
          <w:tcPr>
            <w:tcW w:w="460" w:type="pct"/>
            <w:noWrap w:val="0"/>
            <w:vAlign w:val="center"/>
          </w:tcPr>
          <w:p>
            <w:pPr>
              <w:widowControl/>
              <w:adjustRightInd/>
              <w:snapToGrid/>
              <w:spacing w:after="0" w:line="400" w:lineRule="exact"/>
              <w:jc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性别</w:t>
            </w:r>
          </w:p>
        </w:tc>
        <w:tc>
          <w:tcPr>
            <w:tcW w:w="471" w:type="pct"/>
            <w:noWrap w:val="0"/>
            <w:vAlign w:val="center"/>
          </w:tcPr>
          <w:p>
            <w:pPr>
              <w:widowControl/>
              <w:adjustRightInd/>
              <w:snapToGrid/>
              <w:spacing w:after="0" w:line="400" w:lineRule="exact"/>
              <w:jc w:val="center"/>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学历</w:t>
            </w:r>
          </w:p>
          <w:p>
            <w:pPr>
              <w:widowControl/>
              <w:adjustRightInd/>
              <w:snapToGrid/>
              <w:spacing w:after="0" w:line="400" w:lineRule="exact"/>
              <w:jc w:val="center"/>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要求</w:t>
            </w:r>
          </w:p>
        </w:tc>
        <w:tc>
          <w:tcPr>
            <w:tcW w:w="863" w:type="pct"/>
            <w:noWrap w:val="0"/>
            <w:vAlign w:val="center"/>
          </w:tcPr>
          <w:p>
            <w:pPr>
              <w:widowControl/>
              <w:adjustRightInd/>
              <w:snapToGrid/>
              <w:spacing w:after="0" w:line="400" w:lineRule="exact"/>
              <w:jc w:val="center"/>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专业要求</w:t>
            </w:r>
          </w:p>
        </w:tc>
        <w:tc>
          <w:tcPr>
            <w:tcW w:w="1340" w:type="pct"/>
            <w:noWrap w:val="0"/>
            <w:vAlign w:val="center"/>
          </w:tcPr>
          <w:p>
            <w:pPr>
              <w:widowControl/>
              <w:adjustRightInd/>
              <w:snapToGrid/>
              <w:spacing w:after="0" w:line="400" w:lineRule="exact"/>
              <w:jc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其它岗位说明</w:t>
            </w:r>
          </w:p>
        </w:tc>
        <w:tc>
          <w:tcPr>
            <w:tcW w:w="561" w:type="pct"/>
            <w:noWrap w:val="0"/>
            <w:vAlign w:val="center"/>
          </w:tcPr>
          <w:p>
            <w:pPr>
              <w:widowControl/>
              <w:adjustRightInd/>
              <w:snapToGrid/>
              <w:spacing w:after="0" w:line="400" w:lineRule="exact"/>
              <w:jc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招聘形式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noWrap w:val="0"/>
            <w:vAlign w:val="center"/>
          </w:tcPr>
          <w:p>
            <w:pPr>
              <w:widowControl w:val="0"/>
              <w:adjustRightInd/>
              <w:snapToGrid/>
              <w:spacing w:after="0" w:line="380" w:lineRule="exact"/>
              <w:ind w:left="10" w:leftChars="5"/>
              <w:jc w:val="center"/>
              <w:rPr>
                <w:rFonts w:hint="eastAsia"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投资发展部（投融资管理）</w:t>
            </w:r>
          </w:p>
        </w:tc>
        <w:tc>
          <w:tcPr>
            <w:tcW w:w="257" w:type="pct"/>
            <w:noWrap w:val="0"/>
            <w:vAlign w:val="center"/>
          </w:tcPr>
          <w:p>
            <w:pPr>
              <w:widowControl w:val="0"/>
              <w:adjustRightInd/>
              <w:snapToGrid/>
              <w:spacing w:after="0" w:line="380" w:lineRule="exact"/>
              <w:ind w:left="10" w:leftChars="5"/>
              <w:jc w:val="center"/>
              <w:rPr>
                <w:rFonts w:hint="default"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1</w:t>
            </w:r>
          </w:p>
        </w:tc>
        <w:tc>
          <w:tcPr>
            <w:tcW w:w="695" w:type="pct"/>
            <w:noWrap w:val="0"/>
            <w:vAlign w:val="center"/>
          </w:tcPr>
          <w:p>
            <w:pPr>
              <w:widowControl w:val="0"/>
              <w:adjustRightInd/>
              <w:snapToGrid/>
              <w:spacing w:after="0" w:line="380" w:lineRule="exact"/>
              <w:ind w:left="10" w:leftChars="5"/>
              <w:jc w:val="both"/>
              <w:rPr>
                <w:rFonts w:hint="eastAsia"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40周岁以下（1982年2月24日至2005年2月24日期间出生）</w:t>
            </w:r>
          </w:p>
        </w:tc>
        <w:tc>
          <w:tcPr>
            <w:tcW w:w="460" w:type="pct"/>
            <w:noWrap w:val="0"/>
            <w:vAlign w:val="center"/>
          </w:tcPr>
          <w:p>
            <w:pPr>
              <w:widowControl w:val="0"/>
              <w:adjustRightInd/>
              <w:snapToGrid/>
              <w:spacing w:after="0" w:line="380" w:lineRule="exact"/>
              <w:ind w:left="10" w:leftChars="5"/>
              <w:jc w:val="both"/>
              <w:rPr>
                <w:rFonts w:hint="eastAsia" w:ascii="仿宋_GB2312" w:hAnsi="Times New Roman" w:eastAsia="仿宋_GB2312"/>
                <w:kern w:val="2"/>
                <w:sz w:val="24"/>
                <w:szCs w:val="24"/>
                <w:highlight w:val="none"/>
                <w:lang w:val="en-US" w:eastAsia="zh-CN"/>
              </w:rPr>
            </w:pPr>
            <w:r>
              <w:rPr>
                <w:rFonts w:hint="eastAsia" w:ascii="仿宋_GB2312" w:hAnsi="Times New Roman" w:eastAsia="仿宋_GB2312"/>
                <w:kern w:val="2"/>
                <w:sz w:val="24"/>
                <w:szCs w:val="24"/>
                <w:highlight w:val="none"/>
                <w:lang w:val="en-US" w:eastAsia="zh-CN"/>
              </w:rPr>
              <w:t>男女不限</w:t>
            </w:r>
          </w:p>
        </w:tc>
        <w:tc>
          <w:tcPr>
            <w:tcW w:w="471" w:type="pct"/>
            <w:noWrap w:val="0"/>
            <w:vAlign w:val="center"/>
          </w:tcPr>
          <w:p>
            <w:pPr>
              <w:widowControl w:val="0"/>
              <w:adjustRightInd/>
              <w:snapToGrid/>
              <w:spacing w:after="0" w:line="380" w:lineRule="exact"/>
              <w:ind w:left="10" w:leftChars="5"/>
              <w:jc w:val="both"/>
              <w:rPr>
                <w:rFonts w:hint="eastAsia" w:ascii="仿宋_GB2312" w:hAnsi="Times New Roman" w:eastAsia="仿宋_GB2312"/>
                <w:kern w:val="2"/>
                <w:sz w:val="24"/>
                <w:szCs w:val="24"/>
                <w:highlight w:val="none"/>
                <w:lang w:eastAsia="zh-CN"/>
              </w:rPr>
            </w:pPr>
            <w:r>
              <w:rPr>
                <w:rFonts w:hint="eastAsia" w:ascii="仿宋_GB2312" w:hAnsi="Times New Roman" w:eastAsia="仿宋_GB2312"/>
                <w:kern w:val="2"/>
                <w:sz w:val="24"/>
                <w:szCs w:val="24"/>
                <w:highlight w:val="none"/>
                <w:lang w:eastAsia="zh-CN"/>
              </w:rPr>
              <w:t>本科</w:t>
            </w:r>
            <w:r>
              <w:rPr>
                <w:rFonts w:hint="eastAsia" w:ascii="仿宋_GB2312" w:hAnsi="Times New Roman" w:eastAsia="仿宋_GB2312"/>
                <w:kern w:val="2"/>
                <w:sz w:val="24"/>
                <w:szCs w:val="24"/>
                <w:highlight w:val="none"/>
              </w:rPr>
              <w:t>及以上</w:t>
            </w:r>
          </w:p>
        </w:tc>
        <w:tc>
          <w:tcPr>
            <w:tcW w:w="863" w:type="pct"/>
            <w:noWrap w:val="0"/>
            <w:vAlign w:val="center"/>
          </w:tcPr>
          <w:p>
            <w:pPr>
              <w:widowControl w:val="0"/>
              <w:adjustRightInd/>
              <w:snapToGrid/>
              <w:spacing w:after="0" w:line="380" w:lineRule="exact"/>
              <w:ind w:left="10" w:leftChars="5"/>
              <w:jc w:val="both"/>
              <w:rPr>
                <w:rFonts w:hint="default" w:ascii="仿宋_GB2312" w:hAnsi="Times New Roman" w:eastAsia="仿宋_GB2312"/>
                <w:kern w:val="2"/>
                <w:sz w:val="24"/>
                <w:szCs w:val="24"/>
                <w:lang w:val="en-US" w:eastAsia="zh-CN"/>
              </w:rPr>
            </w:pPr>
            <w:r>
              <w:rPr>
                <w:rFonts w:hint="eastAsia" w:ascii="仿宋_GB2312" w:hAnsi="仿宋_GB2312" w:eastAsia="仿宋_GB2312" w:cs="仿宋_GB2312"/>
                <w:sz w:val="24"/>
                <w:szCs w:val="24"/>
                <w:lang w:val="en-US" w:eastAsia="zh-CN"/>
              </w:rPr>
              <w:t>专业不限</w:t>
            </w:r>
          </w:p>
        </w:tc>
        <w:tc>
          <w:tcPr>
            <w:tcW w:w="1340" w:type="pct"/>
            <w:noWrap w:val="0"/>
            <w:vAlign w:val="center"/>
          </w:tcPr>
          <w:p>
            <w:pPr>
              <w:widowControl w:val="0"/>
              <w:numPr>
                <w:ilvl w:val="0"/>
                <w:numId w:val="0"/>
              </w:numPr>
              <w:adjustRightInd/>
              <w:snapToGrid/>
              <w:spacing w:after="0" w:line="380" w:lineRule="exact"/>
              <w:jc w:val="both"/>
              <w:rPr>
                <w:rFonts w:hint="default"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具有</w:t>
            </w:r>
            <w:r>
              <w:rPr>
                <w:rFonts w:hint="default" w:ascii="仿宋_GB2312" w:hAnsi="Times New Roman" w:eastAsia="仿宋_GB2312"/>
                <w:kern w:val="2"/>
                <w:sz w:val="24"/>
                <w:szCs w:val="24"/>
                <w:lang w:val="en-US" w:eastAsia="zh-CN"/>
              </w:rPr>
              <w:t>银行</w:t>
            </w:r>
            <w:r>
              <w:rPr>
                <w:rFonts w:hint="eastAsia" w:ascii="仿宋_GB2312" w:hAnsi="Times New Roman" w:eastAsia="仿宋_GB2312"/>
                <w:kern w:val="2"/>
                <w:sz w:val="24"/>
                <w:szCs w:val="24"/>
                <w:lang w:val="en-US" w:eastAsia="zh-CN"/>
              </w:rPr>
              <w:t>、基金</w:t>
            </w:r>
            <w:r>
              <w:rPr>
                <w:rFonts w:hint="default" w:ascii="仿宋_GB2312" w:hAnsi="Times New Roman" w:eastAsia="仿宋_GB2312"/>
                <w:kern w:val="2"/>
                <w:sz w:val="24"/>
                <w:szCs w:val="24"/>
                <w:lang w:val="en-US" w:eastAsia="zh-CN"/>
              </w:rPr>
              <w:t>等金融机构</w:t>
            </w:r>
            <w:r>
              <w:rPr>
                <w:rFonts w:hint="eastAsia" w:ascii="仿宋_GB2312" w:hAnsi="Times New Roman" w:eastAsia="仿宋_GB2312"/>
                <w:kern w:val="2"/>
                <w:sz w:val="24"/>
                <w:szCs w:val="24"/>
                <w:lang w:val="en-US" w:eastAsia="zh-CN"/>
              </w:rPr>
              <w:t>工作经验和担任中层副职及以上职务2年以上；熟悉投融资、信贷等管理工作，有金融方面专业知识；嘉兴市户籍（以2023年2月24日户籍所在地为准）。</w:t>
            </w:r>
          </w:p>
        </w:tc>
        <w:tc>
          <w:tcPr>
            <w:tcW w:w="561" w:type="pct"/>
            <w:noWrap w:val="0"/>
            <w:vAlign w:val="center"/>
          </w:tcPr>
          <w:p>
            <w:pPr>
              <w:widowControl w:val="0"/>
              <w:numPr>
                <w:ilvl w:val="0"/>
                <w:numId w:val="0"/>
              </w:numPr>
              <w:adjustRightInd/>
              <w:snapToGrid/>
              <w:spacing w:after="0" w:line="380" w:lineRule="exact"/>
              <w:jc w:val="both"/>
              <w:rPr>
                <w:rFonts w:hint="default" w:ascii="仿宋_GB2312" w:hAnsi="Times New Roman" w:eastAsia="仿宋_GB2312"/>
                <w:kern w:val="2"/>
                <w:sz w:val="24"/>
                <w:szCs w:val="24"/>
                <w:highlight w:val="none"/>
                <w:lang w:val="en-US" w:eastAsia="zh-CN"/>
              </w:rPr>
            </w:pPr>
            <w:r>
              <w:rPr>
                <w:rFonts w:hint="eastAsia" w:ascii="仿宋_GB2312" w:hAnsi="Times New Roman" w:eastAsia="仿宋_GB2312"/>
                <w:kern w:val="2"/>
                <w:sz w:val="24"/>
                <w:szCs w:val="24"/>
                <w:highlight w:val="none"/>
                <w:lang w:val="en-US" w:eastAsia="zh-CN"/>
              </w:rPr>
              <w:t>面谈+面试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noWrap w:val="0"/>
            <w:vAlign w:val="center"/>
          </w:tcPr>
          <w:p>
            <w:pPr>
              <w:widowControl w:val="0"/>
              <w:adjustRightInd/>
              <w:snapToGrid/>
              <w:spacing w:after="0" w:line="380" w:lineRule="exact"/>
              <w:ind w:left="10" w:leftChars="5"/>
              <w:jc w:val="center"/>
              <w:rPr>
                <w:rFonts w:hint="default"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投资发展部（招商运营管理）</w:t>
            </w:r>
          </w:p>
        </w:tc>
        <w:tc>
          <w:tcPr>
            <w:tcW w:w="257" w:type="pct"/>
            <w:noWrap w:val="0"/>
            <w:vAlign w:val="center"/>
          </w:tcPr>
          <w:p>
            <w:pPr>
              <w:widowControl w:val="0"/>
              <w:adjustRightInd/>
              <w:snapToGrid/>
              <w:spacing w:after="0" w:line="380" w:lineRule="exact"/>
              <w:ind w:left="10" w:leftChars="5"/>
              <w:jc w:val="center"/>
              <w:rPr>
                <w:rFonts w:hint="default"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1</w:t>
            </w:r>
          </w:p>
        </w:tc>
        <w:tc>
          <w:tcPr>
            <w:tcW w:w="695" w:type="pct"/>
            <w:noWrap w:val="0"/>
            <w:vAlign w:val="center"/>
          </w:tcPr>
          <w:p>
            <w:pPr>
              <w:widowControl w:val="0"/>
              <w:adjustRightInd/>
              <w:snapToGrid/>
              <w:spacing w:after="0" w:line="380" w:lineRule="exact"/>
              <w:ind w:left="10" w:leftChars="5"/>
              <w:jc w:val="both"/>
              <w:rPr>
                <w:rFonts w:hint="default"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40周岁以下（1982年2月24日至2005年2月24日期间出生）</w:t>
            </w:r>
          </w:p>
        </w:tc>
        <w:tc>
          <w:tcPr>
            <w:tcW w:w="460" w:type="pct"/>
            <w:noWrap w:val="0"/>
            <w:vAlign w:val="center"/>
          </w:tcPr>
          <w:p>
            <w:pPr>
              <w:widowControl w:val="0"/>
              <w:adjustRightInd/>
              <w:snapToGrid/>
              <w:spacing w:after="0" w:line="380" w:lineRule="exact"/>
              <w:ind w:left="10" w:leftChars="5"/>
              <w:jc w:val="both"/>
              <w:rPr>
                <w:rFonts w:hint="eastAsia" w:ascii="仿宋_GB2312" w:hAnsi="Times New Roman" w:eastAsia="仿宋_GB2312"/>
                <w:kern w:val="2"/>
                <w:sz w:val="24"/>
                <w:szCs w:val="24"/>
                <w:highlight w:val="none"/>
                <w:lang w:val="en-US" w:eastAsia="zh-CN"/>
              </w:rPr>
            </w:pPr>
            <w:r>
              <w:rPr>
                <w:rFonts w:hint="eastAsia" w:ascii="仿宋_GB2312" w:hAnsi="Times New Roman" w:eastAsia="仿宋_GB2312"/>
                <w:kern w:val="2"/>
                <w:sz w:val="24"/>
                <w:szCs w:val="24"/>
                <w:highlight w:val="none"/>
                <w:lang w:val="en-US" w:eastAsia="zh-CN"/>
              </w:rPr>
              <w:t>男女不限</w:t>
            </w:r>
          </w:p>
        </w:tc>
        <w:tc>
          <w:tcPr>
            <w:tcW w:w="471" w:type="pct"/>
            <w:noWrap w:val="0"/>
            <w:vAlign w:val="center"/>
          </w:tcPr>
          <w:p>
            <w:pPr>
              <w:widowControl w:val="0"/>
              <w:adjustRightInd/>
              <w:snapToGrid/>
              <w:spacing w:after="0" w:line="380" w:lineRule="exact"/>
              <w:ind w:left="10" w:leftChars="5"/>
              <w:jc w:val="both"/>
              <w:rPr>
                <w:rFonts w:hint="eastAsia" w:ascii="仿宋_GB2312" w:hAnsi="Times New Roman" w:eastAsia="仿宋_GB2312"/>
                <w:kern w:val="2"/>
                <w:sz w:val="24"/>
                <w:szCs w:val="24"/>
                <w:highlight w:val="none"/>
                <w:lang w:eastAsia="zh-CN"/>
              </w:rPr>
            </w:pPr>
            <w:r>
              <w:rPr>
                <w:rFonts w:hint="eastAsia" w:ascii="仿宋_GB2312" w:hAnsi="Times New Roman" w:eastAsia="仿宋_GB2312"/>
                <w:kern w:val="2"/>
                <w:sz w:val="24"/>
                <w:szCs w:val="24"/>
                <w:highlight w:val="none"/>
                <w:lang w:eastAsia="zh-CN"/>
              </w:rPr>
              <w:t>本科</w:t>
            </w:r>
            <w:r>
              <w:rPr>
                <w:rFonts w:hint="eastAsia" w:ascii="仿宋_GB2312" w:hAnsi="Times New Roman" w:eastAsia="仿宋_GB2312"/>
                <w:kern w:val="2"/>
                <w:sz w:val="24"/>
                <w:szCs w:val="24"/>
                <w:highlight w:val="none"/>
              </w:rPr>
              <w:t>及以上</w:t>
            </w:r>
          </w:p>
        </w:tc>
        <w:tc>
          <w:tcPr>
            <w:tcW w:w="863" w:type="pct"/>
            <w:noWrap w:val="0"/>
            <w:vAlign w:val="center"/>
          </w:tcPr>
          <w:p>
            <w:pPr>
              <w:widowControl w:val="0"/>
              <w:adjustRightInd/>
              <w:snapToGrid/>
              <w:spacing w:after="0" w:line="380" w:lineRule="exact"/>
              <w:ind w:left="10" w:leftChars="5"/>
              <w:jc w:val="both"/>
              <w:rPr>
                <w:rFonts w:hint="eastAsia" w:ascii="仿宋_GB2312" w:hAnsi="仿宋_GB2312" w:eastAsia="仿宋_GB2312" w:cs="仿宋_GB2312"/>
                <w:sz w:val="24"/>
                <w:szCs w:val="24"/>
                <w:lang w:eastAsia="zh-CN"/>
              </w:rPr>
            </w:pPr>
            <w:r>
              <w:rPr>
                <w:rFonts w:hint="eastAsia" w:ascii="仿宋_GB2312" w:hAnsi="Times New Roman" w:eastAsia="仿宋_GB2312"/>
                <w:kern w:val="2"/>
                <w:sz w:val="24"/>
                <w:szCs w:val="24"/>
                <w:lang w:eastAsia="zh-CN"/>
              </w:rPr>
              <w:t>专业不限</w:t>
            </w:r>
          </w:p>
        </w:tc>
        <w:tc>
          <w:tcPr>
            <w:tcW w:w="1340" w:type="pct"/>
            <w:noWrap w:val="0"/>
            <w:vAlign w:val="center"/>
          </w:tcPr>
          <w:p>
            <w:pPr>
              <w:widowControl w:val="0"/>
              <w:numPr>
                <w:ilvl w:val="0"/>
                <w:numId w:val="0"/>
              </w:numPr>
              <w:adjustRightInd/>
              <w:snapToGrid/>
              <w:spacing w:after="0" w:line="380" w:lineRule="exact"/>
              <w:jc w:val="both"/>
              <w:rPr>
                <w:rFonts w:hint="default" w:ascii="仿宋_GB2312" w:hAnsi="Times New Roman" w:eastAsia="仿宋_GB2312"/>
                <w:kern w:val="2"/>
                <w:sz w:val="24"/>
                <w:szCs w:val="24"/>
                <w:lang w:val="en-US" w:eastAsia="zh-CN"/>
              </w:rPr>
            </w:pPr>
            <w:r>
              <w:rPr>
                <w:rFonts w:hint="eastAsia" w:ascii="仿宋_GB2312" w:hAnsi="Times New Roman" w:eastAsia="仿宋_GB2312"/>
                <w:kern w:val="2"/>
                <w:sz w:val="24"/>
                <w:szCs w:val="24"/>
                <w:lang w:val="en-US" w:eastAsia="zh-CN"/>
              </w:rPr>
              <w:t>担任园区招商运营管理或大型招商代理公司中层副职以上职务或具有2年以上相应单位招商经验；熟悉政府、行政部门、国企招商流程；嘉兴市户籍（以2023年2月24日户籍所在地为准）。</w:t>
            </w:r>
          </w:p>
        </w:tc>
        <w:tc>
          <w:tcPr>
            <w:tcW w:w="561" w:type="pct"/>
            <w:noWrap w:val="0"/>
            <w:vAlign w:val="center"/>
          </w:tcPr>
          <w:p>
            <w:pPr>
              <w:widowControl w:val="0"/>
              <w:numPr>
                <w:ilvl w:val="0"/>
                <w:numId w:val="0"/>
              </w:numPr>
              <w:adjustRightInd/>
              <w:snapToGrid/>
              <w:spacing w:after="0" w:line="380" w:lineRule="exact"/>
              <w:jc w:val="both"/>
              <w:rPr>
                <w:rFonts w:hint="eastAsia" w:ascii="仿宋_GB2312" w:hAnsi="Times New Roman" w:eastAsia="仿宋_GB2312"/>
                <w:kern w:val="2"/>
                <w:sz w:val="24"/>
                <w:szCs w:val="24"/>
                <w:highlight w:val="none"/>
                <w:lang w:val="en-US" w:eastAsia="zh-CN"/>
              </w:rPr>
            </w:pPr>
            <w:r>
              <w:rPr>
                <w:rFonts w:hint="eastAsia" w:ascii="仿宋_GB2312" w:hAnsi="Times New Roman" w:eastAsia="仿宋_GB2312"/>
                <w:kern w:val="2"/>
                <w:sz w:val="24"/>
                <w:szCs w:val="24"/>
                <w:highlight w:val="none"/>
                <w:lang w:val="en-US" w:eastAsia="zh-CN"/>
              </w:rPr>
              <w:t>面谈+面试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noWrap w:val="0"/>
            <w:vAlign w:val="center"/>
          </w:tcPr>
          <w:p>
            <w:pPr>
              <w:widowControl w:val="0"/>
              <w:adjustRightInd/>
              <w:snapToGrid/>
              <w:spacing w:after="0" w:line="380" w:lineRule="exact"/>
              <w:ind w:left="10" w:leftChars="5"/>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企业经营部（业务管理）</w:t>
            </w:r>
          </w:p>
        </w:tc>
        <w:tc>
          <w:tcPr>
            <w:tcW w:w="257" w:type="pct"/>
            <w:noWrap w:val="0"/>
            <w:vAlign w:val="center"/>
          </w:tcPr>
          <w:p>
            <w:pPr>
              <w:widowControl w:val="0"/>
              <w:adjustRightInd/>
              <w:snapToGrid/>
              <w:spacing w:after="0" w:line="380" w:lineRule="exact"/>
              <w:ind w:left="10" w:leftChars="5"/>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1</w:t>
            </w:r>
          </w:p>
        </w:tc>
        <w:tc>
          <w:tcPr>
            <w:tcW w:w="695"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rPr>
              <w:t>35周岁以</w:t>
            </w:r>
            <w:r>
              <w:rPr>
                <w:rFonts w:hint="eastAsia" w:ascii="仿宋_GB2312" w:hAnsi="Times New Roman" w:eastAsia="仿宋_GB2312"/>
                <w:kern w:val="2"/>
                <w:sz w:val="24"/>
                <w:szCs w:val="24"/>
                <w:lang w:val="en-US" w:eastAsia="zh-CN"/>
              </w:rPr>
              <w:t>下（1987年2月24日至2005年2月24日期间出生）</w:t>
            </w:r>
          </w:p>
        </w:tc>
        <w:tc>
          <w:tcPr>
            <w:tcW w:w="460"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kern w:val="2"/>
                <w:sz w:val="24"/>
                <w:szCs w:val="24"/>
                <w:highlight w:val="none"/>
                <w:lang w:val="en-US" w:eastAsia="zh-CN"/>
              </w:rPr>
              <w:t>男女不限</w:t>
            </w:r>
          </w:p>
        </w:tc>
        <w:tc>
          <w:tcPr>
            <w:tcW w:w="471"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kern w:val="2"/>
                <w:sz w:val="24"/>
                <w:szCs w:val="24"/>
                <w:highlight w:val="none"/>
                <w:lang w:eastAsia="zh-CN"/>
              </w:rPr>
              <w:t>大专</w:t>
            </w:r>
            <w:r>
              <w:rPr>
                <w:rFonts w:hint="eastAsia" w:ascii="仿宋_GB2312" w:hAnsi="Times New Roman" w:eastAsia="仿宋_GB2312"/>
                <w:kern w:val="2"/>
                <w:sz w:val="24"/>
                <w:szCs w:val="24"/>
                <w:highlight w:val="none"/>
              </w:rPr>
              <w:t>及以上</w:t>
            </w:r>
          </w:p>
        </w:tc>
        <w:tc>
          <w:tcPr>
            <w:tcW w:w="863"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eastAsia="zh-CN"/>
              </w:rPr>
              <w:t>专业不限</w:t>
            </w:r>
          </w:p>
        </w:tc>
        <w:tc>
          <w:tcPr>
            <w:tcW w:w="1340" w:type="pct"/>
            <w:noWrap w:val="0"/>
            <w:vAlign w:val="center"/>
          </w:tcPr>
          <w:p>
            <w:pPr>
              <w:widowControl w:val="0"/>
              <w:numPr>
                <w:ilvl w:val="0"/>
                <w:numId w:val="0"/>
              </w:numPr>
              <w:adjustRightInd/>
              <w:snapToGrid/>
              <w:spacing w:after="0" w:line="380" w:lineRule="exact"/>
              <w:ind w:left="0" w:leftChars="0" w:firstLine="0" w:firstLineChars="0"/>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具</w:t>
            </w:r>
            <w:r>
              <w:rPr>
                <w:rFonts w:hint="eastAsia" w:ascii="仿宋_GB2312" w:hAnsi="Times New Roman" w:eastAsia="仿宋_GB2312"/>
                <w:kern w:val="2"/>
                <w:sz w:val="24"/>
                <w:szCs w:val="24"/>
                <w:lang w:val="zh-TW" w:eastAsia="zh-CN"/>
              </w:rPr>
              <w:t>有</w:t>
            </w:r>
            <w:r>
              <w:rPr>
                <w:rFonts w:hint="eastAsia" w:ascii="仿宋_GB2312" w:hAnsi="Times New Roman" w:eastAsia="仿宋_GB2312"/>
                <w:kern w:val="2"/>
                <w:sz w:val="24"/>
                <w:szCs w:val="24"/>
                <w:lang w:val="en-US" w:eastAsia="zh-CN"/>
              </w:rPr>
              <w:t>2年以上镇（街道）及以上养老专职工作经验；熟悉省市县养老相关政策；嘉兴市户籍（以2023年2月24日户籍所在地为准）。</w:t>
            </w:r>
          </w:p>
        </w:tc>
        <w:tc>
          <w:tcPr>
            <w:tcW w:w="561" w:type="pct"/>
            <w:noWrap w:val="0"/>
            <w:vAlign w:val="center"/>
          </w:tcPr>
          <w:p>
            <w:pPr>
              <w:widowControl w:val="0"/>
              <w:numPr>
                <w:ilvl w:val="0"/>
                <w:numId w:val="0"/>
              </w:numPr>
              <w:adjustRightInd/>
              <w:snapToGrid/>
              <w:spacing w:after="0" w:line="380" w:lineRule="exact"/>
              <w:ind w:left="0" w:leftChars="0" w:firstLine="0" w:firstLineChars="0"/>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kern w:val="2"/>
                <w:sz w:val="24"/>
                <w:szCs w:val="24"/>
                <w:highlight w:val="none"/>
                <w:lang w:val="en-US" w:eastAsia="zh-CN"/>
              </w:rPr>
              <w:t>面谈+面试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noWrap w:val="0"/>
            <w:vAlign w:val="center"/>
          </w:tcPr>
          <w:p>
            <w:pPr>
              <w:widowControl w:val="0"/>
              <w:adjustRightInd/>
              <w:snapToGrid/>
              <w:spacing w:after="0" w:line="380" w:lineRule="exact"/>
              <w:ind w:left="10" w:leftChars="5"/>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企业经营部（机构管理）</w:t>
            </w:r>
          </w:p>
        </w:tc>
        <w:tc>
          <w:tcPr>
            <w:tcW w:w="257" w:type="pct"/>
            <w:noWrap w:val="0"/>
            <w:vAlign w:val="center"/>
          </w:tcPr>
          <w:p>
            <w:pPr>
              <w:widowControl w:val="0"/>
              <w:adjustRightInd/>
              <w:snapToGrid/>
              <w:spacing w:after="0" w:line="380" w:lineRule="exact"/>
              <w:ind w:left="10" w:leftChars="5"/>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2</w:t>
            </w:r>
          </w:p>
        </w:tc>
        <w:tc>
          <w:tcPr>
            <w:tcW w:w="695"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40周岁以下（1982年2月24日至2005年2月24日期间出生）</w:t>
            </w:r>
          </w:p>
        </w:tc>
        <w:tc>
          <w:tcPr>
            <w:tcW w:w="460"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kern w:val="2"/>
                <w:sz w:val="24"/>
                <w:szCs w:val="24"/>
                <w:highlight w:val="none"/>
                <w:lang w:val="en-US" w:eastAsia="zh-CN"/>
              </w:rPr>
              <w:t>男女不限</w:t>
            </w:r>
          </w:p>
        </w:tc>
        <w:tc>
          <w:tcPr>
            <w:tcW w:w="471"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kern w:val="2"/>
                <w:sz w:val="24"/>
                <w:szCs w:val="24"/>
                <w:highlight w:val="none"/>
                <w:lang w:eastAsia="zh-CN"/>
              </w:rPr>
              <w:t>大专及以上</w:t>
            </w:r>
          </w:p>
        </w:tc>
        <w:tc>
          <w:tcPr>
            <w:tcW w:w="863" w:type="pct"/>
            <w:noWrap w:val="0"/>
            <w:vAlign w:val="center"/>
          </w:tcPr>
          <w:p>
            <w:pPr>
              <w:widowControl w:val="0"/>
              <w:adjustRightInd/>
              <w:snapToGrid/>
              <w:spacing w:after="0" w:line="380" w:lineRule="exact"/>
              <w:ind w:left="10" w:leftChars="5"/>
              <w:jc w:val="both"/>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eastAsia="zh-CN"/>
              </w:rPr>
              <w:t>专业不限</w:t>
            </w:r>
          </w:p>
        </w:tc>
        <w:tc>
          <w:tcPr>
            <w:tcW w:w="1340" w:type="pct"/>
            <w:noWrap w:val="0"/>
            <w:vAlign w:val="center"/>
          </w:tcPr>
          <w:p>
            <w:pPr>
              <w:widowControl w:val="0"/>
              <w:adjustRightInd/>
              <w:snapToGrid/>
              <w:spacing w:after="0" w:line="380" w:lineRule="exact"/>
              <w:ind w:left="10" w:leftChars="5"/>
              <w:jc w:val="both"/>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kern w:val="2"/>
                <w:sz w:val="24"/>
                <w:szCs w:val="24"/>
                <w:lang w:val="en-US" w:eastAsia="zh-CN"/>
              </w:rPr>
              <w:t>2年以上养老机构综合管理经验（中层副职以上），有大型养老机构综合管理经验的可放宽至45周岁；嘉兴市户籍（以2023年2月24日户籍所在地为准）。</w:t>
            </w:r>
          </w:p>
        </w:tc>
        <w:tc>
          <w:tcPr>
            <w:tcW w:w="561" w:type="pct"/>
            <w:noWrap w:val="0"/>
            <w:vAlign w:val="center"/>
          </w:tcPr>
          <w:p>
            <w:pPr>
              <w:widowControl w:val="0"/>
              <w:adjustRightInd/>
              <w:snapToGrid/>
              <w:spacing w:after="0" w:line="380" w:lineRule="exact"/>
              <w:ind w:left="10" w:leftChars="5"/>
              <w:jc w:val="both"/>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面谈+面试</w:t>
            </w: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TBkNTg1MzdmMjcyN2U1N2VlM2Q0ZGQyNGE2ZTkifQ=="/>
  </w:docVars>
  <w:rsids>
    <w:rsidRoot w:val="5A494CFA"/>
    <w:rsid w:val="04413A74"/>
    <w:rsid w:val="075C1AB8"/>
    <w:rsid w:val="13781A27"/>
    <w:rsid w:val="18344B83"/>
    <w:rsid w:val="1C4F52EF"/>
    <w:rsid w:val="2A945E06"/>
    <w:rsid w:val="31992E3D"/>
    <w:rsid w:val="32193F7E"/>
    <w:rsid w:val="3D7E7557"/>
    <w:rsid w:val="44A4639F"/>
    <w:rsid w:val="52110BC2"/>
    <w:rsid w:val="5A494CFA"/>
    <w:rsid w:val="5E5F5D5C"/>
    <w:rsid w:val="5F750196"/>
    <w:rsid w:val="79FC4466"/>
    <w:rsid w:val="7C1A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636</Characters>
  <Lines>0</Lines>
  <Paragraphs>0</Paragraphs>
  <TotalTime>48</TotalTime>
  <ScaleCrop>false</ScaleCrop>
  <LinksUpToDate>false</LinksUpToDate>
  <CharactersWithSpaces>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2023-01-29T02:19:00Z</dcterms:created>
  <dc:creator>A1姚维锋</dc:creator>
  <cp:lastModifiedBy>A1姚维锋</cp:lastModifiedBy>
  <cp:lastPrinted>2023-02-06T04:47:00Z</cp:lastPrinted>
  <dcterms:modified xsi:type="dcterms:W3CDTF">2023-03-08T01:17:47Z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76926E95068C4D08AFE861190C6F60A2</vt:lpwstr>
  </property>
</Properties>
</file>